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0A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表2 两组患者血气分析指标比较（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=147，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val="en-US" w:eastAsia="zh-CN"/>
        </w:rPr>
        <w:t>mmHg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）</w:t>
      </w:r>
    </w:p>
    <w:tbl>
      <w:tblPr>
        <w:tblStyle w:val="6"/>
        <w:tblW w:w="839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608"/>
        <w:gridCol w:w="1680"/>
        <w:gridCol w:w="1840"/>
        <w:gridCol w:w="1608"/>
      </w:tblGrid>
      <w:tr w14:paraId="4C5FC1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vMerge w:val="restart"/>
          </w:tcPr>
          <w:p w14:paraId="2B53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3288" w:type="dxa"/>
            <w:gridSpan w:val="2"/>
            <w:tcBorders>
              <w:bottom w:val="single" w:color="auto" w:sz="8" w:space="0"/>
            </w:tcBorders>
            <w:vAlign w:val="top"/>
          </w:tcPr>
          <w:p w14:paraId="2E1F0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PaO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bscript"/>
                <w:lang w:val="en-US" w:eastAsia="zh-CN"/>
              </w:rPr>
              <w:t>2</w:t>
            </w:r>
          </w:p>
        </w:tc>
        <w:tc>
          <w:tcPr>
            <w:tcW w:w="3448" w:type="dxa"/>
            <w:gridSpan w:val="2"/>
            <w:tcBorders>
              <w:bottom w:val="single" w:color="auto" w:sz="8" w:space="0"/>
            </w:tcBorders>
            <w:vAlign w:val="top"/>
          </w:tcPr>
          <w:p w14:paraId="488AE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PaCO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bscript"/>
                <w:lang w:val="en-US" w:eastAsia="zh-CN"/>
              </w:rPr>
              <w:t>2</w:t>
            </w:r>
          </w:p>
        </w:tc>
      </w:tr>
      <w:tr w14:paraId="4EFE56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bottom w:val="single" w:color="auto" w:sz="8" w:space="0"/>
            </w:tcBorders>
          </w:tcPr>
          <w:p w14:paraId="45421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60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8288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168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5118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  <w:tc>
          <w:tcPr>
            <w:tcW w:w="184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B7C7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160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3007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</w:tr>
      <w:tr w14:paraId="77B7F5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56" w:type="dxa"/>
            <w:tcBorders>
              <w:top w:val="single" w:color="auto" w:sz="8" w:space="0"/>
            </w:tcBorders>
            <w:vAlign w:val="top"/>
          </w:tcPr>
          <w:p w14:paraId="17EA7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608" w:type="dxa"/>
            <w:tcBorders>
              <w:top w:val="single" w:color="auto" w:sz="8" w:space="0"/>
            </w:tcBorders>
            <w:vAlign w:val="top"/>
          </w:tcPr>
          <w:p w14:paraId="552A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54.31±5.72</w:t>
            </w:r>
          </w:p>
        </w:tc>
        <w:tc>
          <w:tcPr>
            <w:tcW w:w="1680" w:type="dxa"/>
            <w:tcBorders>
              <w:top w:val="single" w:color="auto" w:sz="8" w:space="0"/>
            </w:tcBorders>
            <w:vAlign w:val="top"/>
          </w:tcPr>
          <w:p w14:paraId="5273E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83.64±6.37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840" w:type="dxa"/>
            <w:tcBorders>
              <w:top w:val="single" w:color="auto" w:sz="8" w:space="0"/>
            </w:tcBorders>
            <w:vAlign w:val="top"/>
          </w:tcPr>
          <w:p w14:paraId="6818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57.02±5.83</w:t>
            </w:r>
          </w:p>
        </w:tc>
        <w:tc>
          <w:tcPr>
            <w:tcW w:w="1608" w:type="dxa"/>
            <w:tcBorders>
              <w:top w:val="single" w:color="auto" w:sz="8" w:space="0"/>
            </w:tcBorders>
            <w:vAlign w:val="top"/>
          </w:tcPr>
          <w:p w14:paraId="142F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43.69±4.52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</w:tr>
      <w:tr w14:paraId="499C11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l2br w:val="nil"/>
              <w:tr2bl w:val="nil"/>
            </w:tcBorders>
            <w:vAlign w:val="top"/>
          </w:tcPr>
          <w:p w14:paraId="26EEB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强化护理组</w:t>
            </w:r>
          </w:p>
        </w:tc>
        <w:tc>
          <w:tcPr>
            <w:tcW w:w="1608" w:type="dxa"/>
            <w:tcBorders>
              <w:tl2br w:val="nil"/>
              <w:tr2bl w:val="nil"/>
            </w:tcBorders>
          </w:tcPr>
          <w:p w14:paraId="3AE28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53.69±5.68</w:t>
            </w: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7DB74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86.47±6.12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51C62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57.19±5.86</w:t>
            </w:r>
          </w:p>
        </w:tc>
        <w:tc>
          <w:tcPr>
            <w:tcW w:w="1608" w:type="dxa"/>
            <w:tcBorders>
              <w:tl2br w:val="nil"/>
              <w:tr2bl w:val="nil"/>
            </w:tcBorders>
          </w:tcPr>
          <w:p w14:paraId="4A7C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38.17±4.02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</w:tr>
      <w:tr w14:paraId="3A4A0A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l2br w:val="nil"/>
              <w:tr2bl w:val="nil"/>
            </w:tcBorders>
          </w:tcPr>
          <w:p w14:paraId="0E9F9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1608" w:type="dxa"/>
            <w:tcBorders>
              <w:tl2br w:val="nil"/>
              <w:tr2bl w:val="nil"/>
            </w:tcBorders>
          </w:tcPr>
          <w:p w14:paraId="78CB4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0.933</w:t>
            </w: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16E4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3.884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5FDBE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-0.249</w:t>
            </w:r>
          </w:p>
        </w:tc>
        <w:tc>
          <w:tcPr>
            <w:tcW w:w="1608" w:type="dxa"/>
            <w:tcBorders>
              <w:tl2br w:val="nil"/>
              <w:tr2bl w:val="nil"/>
            </w:tcBorders>
          </w:tcPr>
          <w:p w14:paraId="0BD9C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11.064</w:t>
            </w:r>
          </w:p>
        </w:tc>
      </w:tr>
      <w:tr w14:paraId="61654C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l2br w:val="nil"/>
              <w:tr2bl w:val="nil"/>
            </w:tcBorders>
          </w:tcPr>
          <w:p w14:paraId="10343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608" w:type="dxa"/>
            <w:tcBorders>
              <w:tl2br w:val="nil"/>
              <w:tr2bl w:val="nil"/>
            </w:tcBorders>
          </w:tcPr>
          <w:p w14:paraId="3984D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0.352</w:t>
            </w: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0ADAE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5687E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0.803</w:t>
            </w:r>
          </w:p>
        </w:tc>
        <w:tc>
          <w:tcPr>
            <w:tcW w:w="1608" w:type="dxa"/>
            <w:tcBorders>
              <w:tl2br w:val="nil"/>
              <w:tr2bl w:val="nil"/>
            </w:tcBorders>
          </w:tcPr>
          <w:p w14:paraId="4332E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</w:tr>
      <w:bookmarkEnd w:id="0"/>
    </w:tbl>
    <w:p w14:paraId="45F92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jc w:val="both"/>
        <w:textAlignment w:val="auto"/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注：与组内护理前比较，</w:t>
      </w: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theme="minorEastAsia"/>
          <w:i/>
          <w:i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P</w:t>
      </w: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＜0.05。</w:t>
      </w:r>
    </w:p>
    <w:p w14:paraId="51B9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97C37"/>
    <w:rsid w:val="0038377E"/>
    <w:rsid w:val="030028D5"/>
    <w:rsid w:val="04A70542"/>
    <w:rsid w:val="05417EF9"/>
    <w:rsid w:val="055E7556"/>
    <w:rsid w:val="07155C37"/>
    <w:rsid w:val="0B6B40FF"/>
    <w:rsid w:val="0D4743CF"/>
    <w:rsid w:val="0E1A1D85"/>
    <w:rsid w:val="0FD54C1A"/>
    <w:rsid w:val="10332E50"/>
    <w:rsid w:val="10CD5E68"/>
    <w:rsid w:val="146C3C63"/>
    <w:rsid w:val="15454997"/>
    <w:rsid w:val="15A76E46"/>
    <w:rsid w:val="15AC58D3"/>
    <w:rsid w:val="18326334"/>
    <w:rsid w:val="19EA72BD"/>
    <w:rsid w:val="24FF3FAD"/>
    <w:rsid w:val="26432D67"/>
    <w:rsid w:val="2A572B37"/>
    <w:rsid w:val="2AB027AB"/>
    <w:rsid w:val="2FBE634A"/>
    <w:rsid w:val="300A391E"/>
    <w:rsid w:val="3156660B"/>
    <w:rsid w:val="33060B0F"/>
    <w:rsid w:val="34D446D3"/>
    <w:rsid w:val="35323922"/>
    <w:rsid w:val="378E6A4D"/>
    <w:rsid w:val="37E028B8"/>
    <w:rsid w:val="3C077B24"/>
    <w:rsid w:val="3C297C37"/>
    <w:rsid w:val="3C3B2294"/>
    <w:rsid w:val="3D1E41D8"/>
    <w:rsid w:val="3E856E69"/>
    <w:rsid w:val="3EDA0599"/>
    <w:rsid w:val="458E063E"/>
    <w:rsid w:val="45B918A8"/>
    <w:rsid w:val="4AE24A82"/>
    <w:rsid w:val="4C296B1C"/>
    <w:rsid w:val="52674E8E"/>
    <w:rsid w:val="5A6C0B7C"/>
    <w:rsid w:val="62BB6CB3"/>
    <w:rsid w:val="650750D4"/>
    <w:rsid w:val="677772D0"/>
    <w:rsid w:val="6D6820A6"/>
    <w:rsid w:val="6E1736FF"/>
    <w:rsid w:val="70310109"/>
    <w:rsid w:val="70CE3C33"/>
    <w:rsid w:val="71952AF0"/>
    <w:rsid w:val="72133F6A"/>
    <w:rsid w:val="73DC740C"/>
    <w:rsid w:val="77E2133C"/>
    <w:rsid w:val="780051B8"/>
    <w:rsid w:val="78B97357"/>
    <w:rsid w:val="7CBB7434"/>
    <w:rsid w:val="7FC2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211</Characters>
  <Lines>1</Lines>
  <Paragraphs>1</Paragraphs>
  <TotalTime>5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2025-09-01T22:57:00Z</dcterms:created>
  <dc:creator>作者</dc:creator>
  <cp:lastModifiedBy>windy</cp:lastModifiedBy>
  <dcterms:modified xsi:type="dcterms:W3CDTF">2026-08-04T08:21:17Z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A015A20900324EC78504F08E87D45702_13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