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2DD93">
      <w:pPr>
        <w:pStyle w:val="50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/>
          <w:color w:val="auto"/>
          <w:sz w:val="21"/>
          <w:szCs w:val="21"/>
          <w:highlight w:val="none"/>
        </w:rPr>
      </w:pPr>
      <w:bookmarkStart w:id="0" w:name="OLE_LINK35"/>
      <w:bookmarkStart w:id="1" w:name="OLE_LINK34"/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表2 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>PNI与患者院内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1"/>
          <w:highlight w:val="none"/>
        </w:rPr>
        <w:t>谵妄发生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>风险的多因素Cox比例风险回归分析</w:t>
      </w:r>
    </w:p>
    <w:bookmarkEnd w:id="0"/>
    <w:tbl>
      <w:tblPr>
        <w:tblStyle w:val="20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2128"/>
        <w:gridCol w:w="915"/>
        <w:gridCol w:w="2188"/>
        <w:gridCol w:w="915"/>
        <w:gridCol w:w="2188"/>
        <w:gridCol w:w="915"/>
      </w:tblGrid>
      <w:tr w14:paraId="483A5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1" w:type="pct"/>
            <w:tcBorders>
              <w:top w:val="single" w:color="auto" w:sz="8" w:space="0"/>
            </w:tcBorders>
            <w:noWrap/>
          </w:tcPr>
          <w:p w14:paraId="654C4F7A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  <w:tc>
          <w:tcPr>
            <w:tcW w:w="996" w:type="pct"/>
            <w:tcBorders>
              <w:top w:val="single" w:color="auto" w:sz="8" w:space="0"/>
              <w:bottom w:val="single" w:color="auto" w:sz="8" w:space="0"/>
            </w:tcBorders>
          </w:tcPr>
          <w:p w14:paraId="3B91EB0A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模型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 1</w:t>
            </w:r>
          </w:p>
        </w:tc>
        <w:tc>
          <w:tcPr>
            <w:tcW w:w="428" w:type="pct"/>
            <w:vMerge w:val="restart"/>
            <w:tcBorders>
              <w:top w:val="single" w:color="auto" w:sz="8" w:space="0"/>
            </w:tcBorders>
            <w:vAlign w:val="center"/>
          </w:tcPr>
          <w:p w14:paraId="67F2B1CD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highlight w:val="none"/>
              </w:rPr>
              <w:t>P</w:t>
            </w:r>
          </w:p>
        </w:tc>
        <w:tc>
          <w:tcPr>
            <w:tcW w:w="1024" w:type="pct"/>
            <w:tcBorders>
              <w:top w:val="single" w:color="auto" w:sz="8" w:space="0"/>
              <w:bottom w:val="single" w:color="auto" w:sz="8" w:space="0"/>
            </w:tcBorders>
          </w:tcPr>
          <w:p w14:paraId="649BF723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模型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 2</w:t>
            </w:r>
          </w:p>
        </w:tc>
        <w:tc>
          <w:tcPr>
            <w:tcW w:w="428" w:type="pct"/>
            <w:vMerge w:val="restart"/>
            <w:tcBorders>
              <w:top w:val="single" w:color="auto" w:sz="8" w:space="0"/>
            </w:tcBorders>
            <w:vAlign w:val="center"/>
          </w:tcPr>
          <w:p w14:paraId="4E64E89C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highlight w:val="none"/>
              </w:rPr>
              <w:t>P</w:t>
            </w:r>
          </w:p>
        </w:tc>
        <w:tc>
          <w:tcPr>
            <w:tcW w:w="1024" w:type="pct"/>
            <w:tcBorders>
              <w:top w:val="single" w:color="auto" w:sz="8" w:space="0"/>
              <w:bottom w:val="single" w:color="auto" w:sz="8" w:space="0"/>
            </w:tcBorders>
          </w:tcPr>
          <w:p w14:paraId="103C7BEC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模型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 3</w:t>
            </w:r>
          </w:p>
        </w:tc>
        <w:tc>
          <w:tcPr>
            <w:tcW w:w="428" w:type="pct"/>
            <w:vMerge w:val="restart"/>
            <w:tcBorders>
              <w:top w:val="single" w:color="auto" w:sz="8" w:space="0"/>
            </w:tcBorders>
            <w:vAlign w:val="center"/>
          </w:tcPr>
          <w:p w14:paraId="7B6AB8A4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highlight w:val="none"/>
              </w:rPr>
              <w:t>P</w:t>
            </w:r>
          </w:p>
        </w:tc>
      </w:tr>
      <w:tr w14:paraId="5FA8F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1" w:type="pct"/>
            <w:tcBorders>
              <w:bottom w:val="single" w:color="auto" w:sz="8" w:space="0"/>
            </w:tcBorders>
            <w:noWrap/>
          </w:tcPr>
          <w:p w14:paraId="010F8E65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  <w:tc>
          <w:tcPr>
            <w:tcW w:w="996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4CD6680C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HR (95% </w:t>
            </w:r>
            <w:r>
              <w:rPr>
                <w:rFonts w:hint="eastAsia"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highlight w:val="none"/>
              </w:rPr>
              <w:t>CI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)</w:t>
            </w:r>
          </w:p>
        </w:tc>
        <w:tc>
          <w:tcPr>
            <w:tcW w:w="428" w:type="pct"/>
            <w:vMerge w:val="continue"/>
            <w:tcBorders>
              <w:bottom w:val="single" w:color="auto" w:sz="8" w:space="0"/>
            </w:tcBorders>
          </w:tcPr>
          <w:p w14:paraId="58626668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  <w:tc>
          <w:tcPr>
            <w:tcW w:w="1024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51FF851D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HR (95% </w:t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highlight w:val="none"/>
              </w:rPr>
              <w:t>CI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)</w:t>
            </w:r>
          </w:p>
        </w:tc>
        <w:tc>
          <w:tcPr>
            <w:tcW w:w="428" w:type="pct"/>
            <w:vMerge w:val="continue"/>
            <w:tcBorders>
              <w:bottom w:val="single" w:color="auto" w:sz="8" w:space="0"/>
            </w:tcBorders>
          </w:tcPr>
          <w:p w14:paraId="52A28180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  <w:tc>
          <w:tcPr>
            <w:tcW w:w="1024" w:type="pct"/>
            <w:tcBorders>
              <w:top w:val="single" w:color="auto" w:sz="8" w:space="0"/>
              <w:bottom w:val="single" w:color="auto" w:sz="8" w:space="0"/>
            </w:tcBorders>
            <w:vAlign w:val="top"/>
          </w:tcPr>
          <w:p w14:paraId="3F4EEEC8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HR (95% </w:t>
            </w:r>
            <w:r>
              <w:rPr>
                <w:rFonts w:hint="eastAsia"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highlight w:val="none"/>
              </w:rPr>
              <w:t>CI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)</w:t>
            </w:r>
          </w:p>
        </w:tc>
        <w:tc>
          <w:tcPr>
            <w:tcW w:w="428" w:type="pct"/>
            <w:vMerge w:val="continue"/>
            <w:tcBorders>
              <w:bottom w:val="single" w:color="auto" w:sz="8" w:space="0"/>
            </w:tcBorders>
          </w:tcPr>
          <w:p w14:paraId="522B3BFB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</w:tr>
      <w:tr w14:paraId="2B777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1" w:type="pct"/>
            <w:tcBorders>
              <w:top w:val="single" w:color="auto" w:sz="8" w:space="0"/>
            </w:tcBorders>
            <w:noWrap/>
          </w:tcPr>
          <w:p w14:paraId="702827D8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PNI</w:t>
            </w:r>
          </w:p>
        </w:tc>
        <w:tc>
          <w:tcPr>
            <w:tcW w:w="996" w:type="pct"/>
            <w:tcBorders>
              <w:top w:val="single" w:color="auto" w:sz="8" w:space="0"/>
            </w:tcBorders>
            <w:vAlign w:val="center"/>
          </w:tcPr>
          <w:p w14:paraId="4F8D8C38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0.921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(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0.881, 0.962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)</w:t>
            </w:r>
          </w:p>
        </w:tc>
        <w:tc>
          <w:tcPr>
            <w:tcW w:w="428" w:type="pct"/>
            <w:tcBorders>
              <w:top w:val="single" w:color="auto" w:sz="8" w:space="0"/>
            </w:tcBorders>
          </w:tcPr>
          <w:p w14:paraId="044918D7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&lt;0.001</w:t>
            </w:r>
          </w:p>
        </w:tc>
        <w:tc>
          <w:tcPr>
            <w:tcW w:w="1024" w:type="pct"/>
            <w:tcBorders>
              <w:top w:val="single" w:color="auto" w:sz="8" w:space="0"/>
            </w:tcBorders>
          </w:tcPr>
          <w:p w14:paraId="034A9114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0.914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(0.871, 0.960)</w:t>
            </w:r>
          </w:p>
        </w:tc>
        <w:tc>
          <w:tcPr>
            <w:tcW w:w="428" w:type="pct"/>
            <w:tcBorders>
              <w:top w:val="single" w:color="auto" w:sz="8" w:space="0"/>
            </w:tcBorders>
          </w:tcPr>
          <w:p w14:paraId="5EAC5CBE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&lt;0.001</w:t>
            </w:r>
          </w:p>
        </w:tc>
        <w:tc>
          <w:tcPr>
            <w:tcW w:w="1024" w:type="pct"/>
            <w:tcBorders>
              <w:top w:val="single" w:color="auto" w:sz="8" w:space="0"/>
            </w:tcBorders>
          </w:tcPr>
          <w:p w14:paraId="156ED2E0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0.876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(0.817, 0.939)</w:t>
            </w:r>
          </w:p>
        </w:tc>
        <w:tc>
          <w:tcPr>
            <w:tcW w:w="428" w:type="pct"/>
            <w:tcBorders>
              <w:top w:val="single" w:color="auto" w:sz="8" w:space="0"/>
            </w:tcBorders>
          </w:tcPr>
          <w:p w14:paraId="579C8A6E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&lt;0.001</w:t>
            </w:r>
          </w:p>
        </w:tc>
      </w:tr>
      <w:tr w14:paraId="779A4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1" w:type="pct"/>
            <w:noWrap/>
          </w:tcPr>
          <w:p w14:paraId="21A3407E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PNI 分组</w:t>
            </w:r>
          </w:p>
        </w:tc>
        <w:tc>
          <w:tcPr>
            <w:tcW w:w="996" w:type="pct"/>
            <w:noWrap/>
          </w:tcPr>
          <w:p w14:paraId="0EEDD9E6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  <w:tc>
          <w:tcPr>
            <w:tcW w:w="428" w:type="pct"/>
            <w:noWrap/>
          </w:tcPr>
          <w:p w14:paraId="55CD01E7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  <w:tc>
          <w:tcPr>
            <w:tcW w:w="1024" w:type="pct"/>
            <w:noWrap/>
          </w:tcPr>
          <w:p w14:paraId="34CEE159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  <w:tc>
          <w:tcPr>
            <w:tcW w:w="428" w:type="pct"/>
            <w:noWrap/>
          </w:tcPr>
          <w:p w14:paraId="7FA7D26B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  <w:tc>
          <w:tcPr>
            <w:tcW w:w="1024" w:type="pct"/>
            <w:noWrap/>
          </w:tcPr>
          <w:p w14:paraId="644050D3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  <w:tc>
          <w:tcPr>
            <w:tcW w:w="428" w:type="pct"/>
            <w:noWrap/>
          </w:tcPr>
          <w:p w14:paraId="12699588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</w:tr>
      <w:tr w14:paraId="417AC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1" w:type="pct"/>
            <w:noWrap/>
          </w:tcPr>
          <w:p w14:paraId="7453B6C7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 低 PNI</w:t>
            </w:r>
          </w:p>
        </w:tc>
        <w:tc>
          <w:tcPr>
            <w:tcW w:w="996" w:type="pct"/>
          </w:tcPr>
          <w:p w14:paraId="4A97D96B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Reference</w:t>
            </w:r>
          </w:p>
        </w:tc>
        <w:tc>
          <w:tcPr>
            <w:tcW w:w="428" w:type="pct"/>
            <w:noWrap/>
          </w:tcPr>
          <w:p w14:paraId="3E7CB1B7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  <w:tc>
          <w:tcPr>
            <w:tcW w:w="1024" w:type="pct"/>
          </w:tcPr>
          <w:p w14:paraId="50BA9D22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Reference</w:t>
            </w:r>
          </w:p>
        </w:tc>
        <w:tc>
          <w:tcPr>
            <w:tcW w:w="428" w:type="pct"/>
            <w:noWrap/>
          </w:tcPr>
          <w:p w14:paraId="222B1185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  <w:tc>
          <w:tcPr>
            <w:tcW w:w="1024" w:type="pct"/>
          </w:tcPr>
          <w:p w14:paraId="694BF1EE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Reference</w:t>
            </w:r>
          </w:p>
        </w:tc>
        <w:tc>
          <w:tcPr>
            <w:tcW w:w="428" w:type="pct"/>
            <w:noWrap/>
          </w:tcPr>
          <w:p w14:paraId="218D36C4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</w:tr>
      <w:tr w14:paraId="2D240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1" w:type="pct"/>
            <w:noWrap/>
          </w:tcPr>
          <w:p w14:paraId="1E56CCAA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 高 PNI</w:t>
            </w:r>
          </w:p>
        </w:tc>
        <w:tc>
          <w:tcPr>
            <w:tcW w:w="996" w:type="pct"/>
          </w:tcPr>
          <w:p w14:paraId="02F65F7E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0.29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(0.157, 0.536)</w:t>
            </w:r>
          </w:p>
        </w:tc>
        <w:tc>
          <w:tcPr>
            <w:tcW w:w="428" w:type="pct"/>
          </w:tcPr>
          <w:p w14:paraId="40BA0E0F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&lt;0.001</w:t>
            </w:r>
          </w:p>
        </w:tc>
        <w:tc>
          <w:tcPr>
            <w:tcW w:w="1024" w:type="pct"/>
          </w:tcPr>
          <w:p w14:paraId="3CBA3283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0.27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(0.140, 0.522)</w:t>
            </w:r>
          </w:p>
        </w:tc>
        <w:tc>
          <w:tcPr>
            <w:tcW w:w="428" w:type="pct"/>
          </w:tcPr>
          <w:p w14:paraId="4E30ACFF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&lt;0.001</w:t>
            </w:r>
          </w:p>
        </w:tc>
        <w:tc>
          <w:tcPr>
            <w:tcW w:w="1024" w:type="pct"/>
          </w:tcPr>
          <w:p w14:paraId="3C699192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0.166</w:t>
            </w:r>
            <w:r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(0.068, 0.405)</w:t>
            </w:r>
          </w:p>
        </w:tc>
        <w:tc>
          <w:tcPr>
            <w:tcW w:w="428" w:type="pct"/>
          </w:tcPr>
          <w:p w14:paraId="39026D33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&lt;0.001</w:t>
            </w:r>
          </w:p>
        </w:tc>
      </w:tr>
      <w:tr w14:paraId="5FA5AB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1" w:type="pct"/>
            <w:tcBorders>
              <w:bottom w:val="single" w:color="auto" w:sz="8" w:space="0"/>
            </w:tcBorders>
            <w:noWrap/>
          </w:tcPr>
          <w:p w14:paraId="5ACF97C5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趋势性检验</w:t>
            </w:r>
          </w:p>
        </w:tc>
        <w:tc>
          <w:tcPr>
            <w:tcW w:w="996" w:type="pct"/>
            <w:tcBorders>
              <w:bottom w:val="single" w:color="auto" w:sz="8" w:space="0"/>
            </w:tcBorders>
          </w:tcPr>
          <w:p w14:paraId="68FE4964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highlight w:val="none"/>
              </w:rPr>
              <w:t xml:space="preserve">P 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of trend &lt;0.001</w:t>
            </w:r>
          </w:p>
        </w:tc>
        <w:tc>
          <w:tcPr>
            <w:tcW w:w="428" w:type="pct"/>
            <w:tcBorders>
              <w:bottom w:val="single" w:color="auto" w:sz="8" w:space="0"/>
            </w:tcBorders>
          </w:tcPr>
          <w:p w14:paraId="7E525F96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　</w:t>
            </w:r>
          </w:p>
        </w:tc>
        <w:tc>
          <w:tcPr>
            <w:tcW w:w="1024" w:type="pct"/>
            <w:tcBorders>
              <w:bottom w:val="single" w:color="auto" w:sz="8" w:space="0"/>
            </w:tcBorders>
          </w:tcPr>
          <w:p w14:paraId="3929EAAA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highlight w:val="none"/>
              </w:rPr>
              <w:t>P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 xml:space="preserve"> of trend &lt;0.001</w:t>
            </w:r>
          </w:p>
        </w:tc>
        <w:tc>
          <w:tcPr>
            <w:tcW w:w="428" w:type="pct"/>
            <w:tcBorders>
              <w:bottom w:val="single" w:color="auto" w:sz="8" w:space="0"/>
            </w:tcBorders>
            <w:noWrap/>
          </w:tcPr>
          <w:p w14:paraId="181C4843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  <w:tc>
          <w:tcPr>
            <w:tcW w:w="1024" w:type="pct"/>
            <w:tcBorders>
              <w:bottom w:val="single" w:color="auto" w:sz="8" w:space="0"/>
            </w:tcBorders>
          </w:tcPr>
          <w:p w14:paraId="100CF747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highlight w:val="none"/>
              </w:rPr>
              <w:t xml:space="preserve">P 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  <w:t>of trend &lt;0.001</w:t>
            </w:r>
          </w:p>
        </w:tc>
        <w:tc>
          <w:tcPr>
            <w:tcW w:w="428" w:type="pct"/>
            <w:tcBorders>
              <w:bottom w:val="single" w:color="auto" w:sz="8" w:space="0"/>
            </w:tcBorders>
            <w:noWrap/>
          </w:tcPr>
          <w:p w14:paraId="5C771677">
            <w:pPr>
              <w:pStyle w:val="50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</w:rPr>
            </w:pPr>
          </w:p>
        </w:tc>
      </w:tr>
    </w:tbl>
    <w:p w14:paraId="630069CD">
      <w:pPr>
        <w:pStyle w:val="4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ascii="Times New Roman" w:hAnsi="Times New Roman" w:eastAsia="宋体"/>
          <w:color w:val="auto"/>
          <w:sz w:val="21"/>
          <w:szCs w:val="18"/>
          <w:highlight w:val="none"/>
        </w:rPr>
      </w:pPr>
      <w:bookmarkStart w:id="2" w:name="_Hlk210218409"/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</w:rPr>
        <w:t>注：</w:t>
      </w:r>
      <w:r>
        <w:rPr>
          <w:rFonts w:ascii="Times New Roman" w:hAnsi="Times New Roman" w:eastAsia="宋体"/>
          <w:color w:val="auto"/>
          <w:sz w:val="21"/>
          <w:szCs w:val="18"/>
          <w:highlight w:val="none"/>
        </w:rPr>
        <w:t>模型1为未调整的粗模型；模型2在模型1基础上调整了人口统计学因素（如年龄、性别）和生命体征；模型3为全模型</w:t>
      </w:r>
      <w:bookmarkEnd w:id="1"/>
      <w:r>
        <w:rPr>
          <w:rFonts w:ascii="Times New Roman" w:hAnsi="Times New Roman" w:eastAsia="宋体"/>
          <w:color w:val="auto"/>
          <w:sz w:val="21"/>
          <w:szCs w:val="18"/>
          <w:highlight w:val="none"/>
        </w:rPr>
        <w:t>，进一步调整了合并症（如高血压、糖尿病、冠心病、心力衰竭等）及实验室检验指标。</w:t>
      </w:r>
      <w:bookmarkEnd w:id="2"/>
      <w:r>
        <w:rPr>
          <w:rFonts w:ascii="Times New Roman" w:hAnsi="Times New Roman" w:eastAsia="宋体"/>
          <w:color w:val="auto"/>
          <w:sz w:val="21"/>
          <w:szCs w:val="18"/>
          <w:highlight w:val="none"/>
        </w:rPr>
        <w:t>所有</w:t>
      </w:r>
      <w:r>
        <w:rPr>
          <w:rFonts w:ascii="Times New Roman" w:hAnsi="Times New Roman" w:eastAsia="宋体"/>
          <w:i/>
          <w:iCs/>
          <w:color w:val="auto"/>
          <w:sz w:val="21"/>
          <w:szCs w:val="18"/>
          <w:highlight w:val="none"/>
        </w:rPr>
        <w:t>P</w:t>
      </w:r>
      <w:r>
        <w:rPr>
          <w:rFonts w:ascii="Times New Roman" w:hAnsi="Times New Roman" w:eastAsia="宋体"/>
          <w:color w:val="auto"/>
          <w:sz w:val="21"/>
          <w:szCs w:val="18"/>
          <w:highlight w:val="none"/>
        </w:rPr>
        <w:t>值均经过Bonferroni法进行多重检验校正。</w:t>
      </w:r>
      <w:bookmarkStart w:id="3" w:name="_GoBack"/>
      <w:bookmarkEnd w:id="3"/>
    </w:p>
    <w:p w14:paraId="3CCADA57">
      <w:pPr>
        <w:pStyle w:val="46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szCs w:val="21"/>
          <w:highlight w:val="none"/>
          <w:lang w:eastAsia="zh-CN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B700D6"/>
    <w:multiLevelType w:val="multilevel"/>
    <w:tmpl w:val="29B700D6"/>
    <w:lvl w:ilvl="0" w:tentative="0">
      <w:start w:val="1"/>
      <w:numFmt w:val="decimal"/>
      <w:pStyle w:val="55"/>
      <w:lvlText w:val="[%1]"/>
      <w:lvlJc w:val="left"/>
      <w:pPr>
        <w:tabs>
          <w:tab w:val="left" w:pos="473"/>
        </w:tabs>
        <w:ind w:left="473" w:hanging="420"/>
      </w:pPr>
      <w:rPr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1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3CD"/>
    <w:rsid w:val="000025FA"/>
    <w:rsid w:val="000052CE"/>
    <w:rsid w:val="0000762D"/>
    <w:rsid w:val="0001542C"/>
    <w:rsid w:val="000204A2"/>
    <w:rsid w:val="00030A9B"/>
    <w:rsid w:val="000548A6"/>
    <w:rsid w:val="00080BAA"/>
    <w:rsid w:val="00084481"/>
    <w:rsid w:val="00086D69"/>
    <w:rsid w:val="00090D9D"/>
    <w:rsid w:val="000A0AEA"/>
    <w:rsid w:val="000B2D54"/>
    <w:rsid w:val="000C28FC"/>
    <w:rsid w:val="0011162D"/>
    <w:rsid w:val="0012129E"/>
    <w:rsid w:val="001376A1"/>
    <w:rsid w:val="00153A89"/>
    <w:rsid w:val="00156038"/>
    <w:rsid w:val="00161A5C"/>
    <w:rsid w:val="00162685"/>
    <w:rsid w:val="0017259E"/>
    <w:rsid w:val="0017578D"/>
    <w:rsid w:val="00180100"/>
    <w:rsid w:val="00182805"/>
    <w:rsid w:val="00195144"/>
    <w:rsid w:val="00196765"/>
    <w:rsid w:val="001A11D7"/>
    <w:rsid w:val="001C083C"/>
    <w:rsid w:val="001C0FB1"/>
    <w:rsid w:val="001E35C7"/>
    <w:rsid w:val="001F4B14"/>
    <w:rsid w:val="00206A72"/>
    <w:rsid w:val="002138D6"/>
    <w:rsid w:val="0021413A"/>
    <w:rsid w:val="002172ED"/>
    <w:rsid w:val="002411FB"/>
    <w:rsid w:val="002453D5"/>
    <w:rsid w:val="00250D99"/>
    <w:rsid w:val="00275675"/>
    <w:rsid w:val="00276BA0"/>
    <w:rsid w:val="00293737"/>
    <w:rsid w:val="002B51A1"/>
    <w:rsid w:val="002C4FA0"/>
    <w:rsid w:val="002D020A"/>
    <w:rsid w:val="002E4679"/>
    <w:rsid w:val="002E6D9E"/>
    <w:rsid w:val="002F4773"/>
    <w:rsid w:val="002F78EA"/>
    <w:rsid w:val="002F7F7B"/>
    <w:rsid w:val="003015BA"/>
    <w:rsid w:val="003060CD"/>
    <w:rsid w:val="00307623"/>
    <w:rsid w:val="0031122B"/>
    <w:rsid w:val="00313EAA"/>
    <w:rsid w:val="003143DA"/>
    <w:rsid w:val="00320D04"/>
    <w:rsid w:val="003213F6"/>
    <w:rsid w:val="00347F3A"/>
    <w:rsid w:val="00356F36"/>
    <w:rsid w:val="0036020B"/>
    <w:rsid w:val="00370D61"/>
    <w:rsid w:val="003710EC"/>
    <w:rsid w:val="00387CFF"/>
    <w:rsid w:val="00394222"/>
    <w:rsid w:val="0039487E"/>
    <w:rsid w:val="003A34CE"/>
    <w:rsid w:val="003C51DE"/>
    <w:rsid w:val="003C6ECD"/>
    <w:rsid w:val="003D2F60"/>
    <w:rsid w:val="003E51FE"/>
    <w:rsid w:val="003F7EA1"/>
    <w:rsid w:val="00402B11"/>
    <w:rsid w:val="00405717"/>
    <w:rsid w:val="0041344C"/>
    <w:rsid w:val="00417045"/>
    <w:rsid w:val="004251F2"/>
    <w:rsid w:val="004417CB"/>
    <w:rsid w:val="0044366E"/>
    <w:rsid w:val="00455AAC"/>
    <w:rsid w:val="00461BA4"/>
    <w:rsid w:val="0048319E"/>
    <w:rsid w:val="00495CEE"/>
    <w:rsid w:val="00495F28"/>
    <w:rsid w:val="00497339"/>
    <w:rsid w:val="004A452B"/>
    <w:rsid w:val="004B56DD"/>
    <w:rsid w:val="004B6DE9"/>
    <w:rsid w:val="004C0703"/>
    <w:rsid w:val="004C3D44"/>
    <w:rsid w:val="004D018A"/>
    <w:rsid w:val="004E312A"/>
    <w:rsid w:val="004F3027"/>
    <w:rsid w:val="005240DC"/>
    <w:rsid w:val="00533B41"/>
    <w:rsid w:val="00561DCE"/>
    <w:rsid w:val="00567B5C"/>
    <w:rsid w:val="00567DAE"/>
    <w:rsid w:val="00576178"/>
    <w:rsid w:val="005769FC"/>
    <w:rsid w:val="00585055"/>
    <w:rsid w:val="005924D4"/>
    <w:rsid w:val="005A48AC"/>
    <w:rsid w:val="005B03DA"/>
    <w:rsid w:val="005B2192"/>
    <w:rsid w:val="005E192E"/>
    <w:rsid w:val="005E2A0D"/>
    <w:rsid w:val="005E2EE5"/>
    <w:rsid w:val="005E2FA1"/>
    <w:rsid w:val="005E5C8E"/>
    <w:rsid w:val="005F320C"/>
    <w:rsid w:val="005F62C3"/>
    <w:rsid w:val="0061051A"/>
    <w:rsid w:val="00615EE7"/>
    <w:rsid w:val="00626B4C"/>
    <w:rsid w:val="006522B3"/>
    <w:rsid w:val="006530DE"/>
    <w:rsid w:val="0065565C"/>
    <w:rsid w:val="00664228"/>
    <w:rsid w:val="00666BCF"/>
    <w:rsid w:val="00686603"/>
    <w:rsid w:val="00694E12"/>
    <w:rsid w:val="0069509D"/>
    <w:rsid w:val="006A2A22"/>
    <w:rsid w:val="006A3855"/>
    <w:rsid w:val="006A6300"/>
    <w:rsid w:val="006B702E"/>
    <w:rsid w:val="006C70F2"/>
    <w:rsid w:val="006D276E"/>
    <w:rsid w:val="006D4191"/>
    <w:rsid w:val="006E22D3"/>
    <w:rsid w:val="00700F6C"/>
    <w:rsid w:val="007146D7"/>
    <w:rsid w:val="00714FAB"/>
    <w:rsid w:val="00720A25"/>
    <w:rsid w:val="00724A03"/>
    <w:rsid w:val="0073044B"/>
    <w:rsid w:val="00742BDF"/>
    <w:rsid w:val="00745101"/>
    <w:rsid w:val="00752059"/>
    <w:rsid w:val="0075561B"/>
    <w:rsid w:val="007613C1"/>
    <w:rsid w:val="00780193"/>
    <w:rsid w:val="007901B8"/>
    <w:rsid w:val="00790737"/>
    <w:rsid w:val="007B6C19"/>
    <w:rsid w:val="007D2C85"/>
    <w:rsid w:val="007F5A6F"/>
    <w:rsid w:val="007F620C"/>
    <w:rsid w:val="00803389"/>
    <w:rsid w:val="00811C76"/>
    <w:rsid w:val="008124D3"/>
    <w:rsid w:val="00820BE2"/>
    <w:rsid w:val="00822713"/>
    <w:rsid w:val="008252BA"/>
    <w:rsid w:val="008365A1"/>
    <w:rsid w:val="008369A2"/>
    <w:rsid w:val="00837FF8"/>
    <w:rsid w:val="00841C28"/>
    <w:rsid w:val="00845043"/>
    <w:rsid w:val="0087577D"/>
    <w:rsid w:val="00891244"/>
    <w:rsid w:val="008C03E8"/>
    <w:rsid w:val="008D15DB"/>
    <w:rsid w:val="008F5639"/>
    <w:rsid w:val="00903DC3"/>
    <w:rsid w:val="00911442"/>
    <w:rsid w:val="00913BAE"/>
    <w:rsid w:val="00915B21"/>
    <w:rsid w:val="00923E45"/>
    <w:rsid w:val="009428A6"/>
    <w:rsid w:val="009438C6"/>
    <w:rsid w:val="00943A3A"/>
    <w:rsid w:val="00956AFD"/>
    <w:rsid w:val="00957D23"/>
    <w:rsid w:val="009726F8"/>
    <w:rsid w:val="00980F37"/>
    <w:rsid w:val="00983CAA"/>
    <w:rsid w:val="00985DBE"/>
    <w:rsid w:val="009962C0"/>
    <w:rsid w:val="009A3C32"/>
    <w:rsid w:val="009B47F2"/>
    <w:rsid w:val="009B5EFD"/>
    <w:rsid w:val="009B724C"/>
    <w:rsid w:val="009D74CF"/>
    <w:rsid w:val="009D756A"/>
    <w:rsid w:val="009E2F50"/>
    <w:rsid w:val="009F0FBF"/>
    <w:rsid w:val="00A1245B"/>
    <w:rsid w:val="00A13E57"/>
    <w:rsid w:val="00A27D0D"/>
    <w:rsid w:val="00A33814"/>
    <w:rsid w:val="00A40761"/>
    <w:rsid w:val="00A4429D"/>
    <w:rsid w:val="00A5428B"/>
    <w:rsid w:val="00A579EA"/>
    <w:rsid w:val="00A67B73"/>
    <w:rsid w:val="00A70BF3"/>
    <w:rsid w:val="00A7380B"/>
    <w:rsid w:val="00A805BD"/>
    <w:rsid w:val="00A877DC"/>
    <w:rsid w:val="00AA127A"/>
    <w:rsid w:val="00AA3849"/>
    <w:rsid w:val="00AA3A1B"/>
    <w:rsid w:val="00AC6259"/>
    <w:rsid w:val="00AD0EE3"/>
    <w:rsid w:val="00AD3F0D"/>
    <w:rsid w:val="00AE1BB7"/>
    <w:rsid w:val="00AE408B"/>
    <w:rsid w:val="00AF0B24"/>
    <w:rsid w:val="00B30039"/>
    <w:rsid w:val="00B40E6D"/>
    <w:rsid w:val="00B61A24"/>
    <w:rsid w:val="00B61E7D"/>
    <w:rsid w:val="00B66610"/>
    <w:rsid w:val="00B70EE6"/>
    <w:rsid w:val="00B7190F"/>
    <w:rsid w:val="00B82108"/>
    <w:rsid w:val="00B83363"/>
    <w:rsid w:val="00B86ED4"/>
    <w:rsid w:val="00B93E3C"/>
    <w:rsid w:val="00B94008"/>
    <w:rsid w:val="00BD00BC"/>
    <w:rsid w:val="00BE2783"/>
    <w:rsid w:val="00BF003B"/>
    <w:rsid w:val="00BF0BBB"/>
    <w:rsid w:val="00C27A20"/>
    <w:rsid w:val="00C378B9"/>
    <w:rsid w:val="00C4104F"/>
    <w:rsid w:val="00C45A17"/>
    <w:rsid w:val="00C51151"/>
    <w:rsid w:val="00C65518"/>
    <w:rsid w:val="00C84FED"/>
    <w:rsid w:val="00C87ADB"/>
    <w:rsid w:val="00C94D0B"/>
    <w:rsid w:val="00CA1B5B"/>
    <w:rsid w:val="00CC6CEA"/>
    <w:rsid w:val="00CD17AE"/>
    <w:rsid w:val="00CE264D"/>
    <w:rsid w:val="00CE2D2B"/>
    <w:rsid w:val="00CF029C"/>
    <w:rsid w:val="00D03606"/>
    <w:rsid w:val="00D06AB7"/>
    <w:rsid w:val="00D253BD"/>
    <w:rsid w:val="00D25FCE"/>
    <w:rsid w:val="00D402CC"/>
    <w:rsid w:val="00D81C9E"/>
    <w:rsid w:val="00D859D9"/>
    <w:rsid w:val="00D9534C"/>
    <w:rsid w:val="00DB2443"/>
    <w:rsid w:val="00DB34D2"/>
    <w:rsid w:val="00DB7AE0"/>
    <w:rsid w:val="00DF78DA"/>
    <w:rsid w:val="00E02816"/>
    <w:rsid w:val="00E24DA0"/>
    <w:rsid w:val="00E534E0"/>
    <w:rsid w:val="00E7045F"/>
    <w:rsid w:val="00E92138"/>
    <w:rsid w:val="00E97D3A"/>
    <w:rsid w:val="00EA175A"/>
    <w:rsid w:val="00EA65EE"/>
    <w:rsid w:val="00EA767E"/>
    <w:rsid w:val="00EB07F7"/>
    <w:rsid w:val="00EC39FB"/>
    <w:rsid w:val="00EC5B83"/>
    <w:rsid w:val="00ED505F"/>
    <w:rsid w:val="00ED620D"/>
    <w:rsid w:val="00EE4BD3"/>
    <w:rsid w:val="00F176E6"/>
    <w:rsid w:val="00F2390F"/>
    <w:rsid w:val="00F25AEF"/>
    <w:rsid w:val="00F32278"/>
    <w:rsid w:val="00F434A9"/>
    <w:rsid w:val="00F44149"/>
    <w:rsid w:val="00F633CD"/>
    <w:rsid w:val="00F64CFF"/>
    <w:rsid w:val="00F71FD4"/>
    <w:rsid w:val="00F84D4A"/>
    <w:rsid w:val="00F87007"/>
    <w:rsid w:val="00F9038D"/>
    <w:rsid w:val="00F925DC"/>
    <w:rsid w:val="00F9394B"/>
    <w:rsid w:val="00F97E04"/>
    <w:rsid w:val="00FA198C"/>
    <w:rsid w:val="00FA5600"/>
    <w:rsid w:val="00FB0EF5"/>
    <w:rsid w:val="00FB234F"/>
    <w:rsid w:val="00FB524C"/>
    <w:rsid w:val="00FC7B36"/>
    <w:rsid w:val="0F684B58"/>
    <w:rsid w:val="100B1B1D"/>
    <w:rsid w:val="1F246701"/>
    <w:rsid w:val="242B6A92"/>
    <w:rsid w:val="2942589E"/>
    <w:rsid w:val="2E2471BB"/>
    <w:rsid w:val="320E2F0A"/>
    <w:rsid w:val="42CC6196"/>
    <w:rsid w:val="48FA3E6D"/>
    <w:rsid w:val="4C3E2CC8"/>
    <w:rsid w:val="51BC6C27"/>
    <w:rsid w:val="52657E1F"/>
    <w:rsid w:val="538B2AEA"/>
    <w:rsid w:val="54DE46DC"/>
    <w:rsid w:val="65C744A8"/>
    <w:rsid w:val="69A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8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7"/>
    <w:semiHidden/>
    <w:unhideWhenUsed/>
    <w:qFormat/>
    <w:uiPriority w:val="99"/>
  </w:style>
  <w:style w:type="paragraph" w:styleId="12">
    <w:name w:val="endnote text"/>
    <w:basedOn w:val="1"/>
    <w:link w:val="52"/>
    <w:qFormat/>
    <w:uiPriority w:val="0"/>
    <w:pPr>
      <w:snapToGrid w:val="0"/>
      <w:spacing w:after="0" w:line="240" w:lineRule="auto"/>
    </w:pPr>
    <w:rPr>
      <w:sz w:val="21"/>
      <w14:ligatures w14:val="none"/>
    </w:rPr>
  </w:style>
  <w:style w:type="paragraph" w:styleId="13">
    <w:name w:val="footer"/>
    <w:basedOn w:val="1"/>
    <w:link w:val="4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4">
    <w:name w:val="header"/>
    <w:basedOn w:val="1"/>
    <w:link w:val="4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footnote text"/>
    <w:basedOn w:val="1"/>
    <w:link w:val="54"/>
    <w:semiHidden/>
    <w:unhideWhenUsed/>
    <w:qFormat/>
    <w:uiPriority w:val="99"/>
    <w:pPr>
      <w:snapToGrid w:val="0"/>
    </w:pPr>
    <w:rPr>
      <w:sz w:val="18"/>
      <w:szCs w:val="18"/>
    </w:rPr>
  </w:style>
  <w:style w:type="paragraph" w:styleId="17">
    <w:name w:val="Title"/>
    <w:basedOn w:val="1"/>
    <w:next w:val="1"/>
    <w:link w:val="3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58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22"/>
    <w:rPr>
      <w:b/>
      <w:bCs/>
    </w:rPr>
  </w:style>
  <w:style w:type="character" w:styleId="23">
    <w:name w:val="endnote reference"/>
    <w:basedOn w:val="21"/>
    <w:semiHidden/>
    <w:unhideWhenUsed/>
    <w:qFormat/>
    <w:uiPriority w:val="99"/>
    <w:rPr>
      <w:vertAlign w:val="superscript"/>
    </w:rPr>
  </w:style>
  <w:style w:type="character" w:styleId="24">
    <w:name w:val="Hyperlink"/>
    <w:basedOn w:val="2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basedOn w:val="21"/>
    <w:semiHidden/>
    <w:unhideWhenUsed/>
    <w:qFormat/>
    <w:uiPriority w:val="99"/>
    <w:rPr>
      <w:vertAlign w:val="superscript"/>
    </w:rPr>
  </w:style>
  <w:style w:type="character" w:customStyle="1" w:styleId="27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8">
    <w:name w:val="标题 2 字符"/>
    <w:basedOn w:val="21"/>
    <w:link w:val="3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9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0">
    <w:name w:val="标题 4 字符"/>
    <w:basedOn w:val="21"/>
    <w:link w:val="5"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31">
    <w:name w:val="标题 5 字符"/>
    <w:basedOn w:val="21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32">
    <w:name w:val="标题 6 字符"/>
    <w:basedOn w:val="21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3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7">
    <w:name w:val="副标题 字符"/>
    <w:basedOn w:val="21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8">
    <w:name w:val="Quote"/>
    <w:basedOn w:val="1"/>
    <w:next w:val="1"/>
    <w:link w:val="3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引用 字符"/>
    <w:basedOn w:val="21"/>
    <w:link w:val="3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character" w:customStyle="1" w:styleId="41">
    <w:name w:val="明显强调1"/>
    <w:basedOn w:val="21"/>
    <w:qFormat/>
    <w:uiPriority w:val="21"/>
    <w:rPr>
      <w:i/>
      <w:iCs/>
      <w:color w:val="2F5597" w:themeColor="accent1" w:themeShade="BF"/>
    </w:rPr>
  </w:style>
  <w:style w:type="paragraph" w:styleId="42">
    <w:name w:val="Intense Quote"/>
    <w:basedOn w:val="1"/>
    <w:next w:val="1"/>
    <w:link w:val="4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3">
    <w:name w:val="明显引用 字符"/>
    <w:basedOn w:val="21"/>
    <w:link w:val="42"/>
    <w:qFormat/>
    <w:uiPriority w:val="30"/>
    <w:rPr>
      <w:i/>
      <w:iCs/>
      <w:color w:val="2F5597" w:themeColor="accent1" w:themeShade="BF"/>
    </w:rPr>
  </w:style>
  <w:style w:type="character" w:customStyle="1" w:styleId="44">
    <w:name w:val="明显参考1"/>
    <w:basedOn w:val="2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45">
    <w:name w:val="二级标题样式"/>
    <w:basedOn w:val="1"/>
    <w:qFormat/>
    <w:uiPriority w:val="0"/>
    <w:pPr>
      <w:autoSpaceDE w:val="0"/>
      <w:autoSpaceDN w:val="0"/>
      <w:spacing w:after="0" w:line="240" w:lineRule="auto"/>
      <w:jc w:val="both"/>
    </w:pPr>
    <w:rPr>
      <w:rFonts w:ascii="Times New Roman" w:hAnsi="Times New Roman" w:eastAsia="宋体" w:cs="Times New Roman"/>
      <w:sz w:val="21"/>
      <w14:ligatures w14:val="none"/>
    </w:rPr>
  </w:style>
  <w:style w:type="paragraph" w:customStyle="1" w:styleId="46">
    <w:name w:val="正文样式"/>
    <w:basedOn w:val="1"/>
    <w:qFormat/>
    <w:uiPriority w:val="0"/>
    <w:pPr>
      <w:autoSpaceDE w:val="0"/>
      <w:autoSpaceDN w:val="0"/>
      <w:spacing w:after="0" w:line="240" w:lineRule="auto"/>
      <w:ind w:firstLine="420" w:firstLineChars="200"/>
      <w:jc w:val="both"/>
    </w:pPr>
    <w:rPr>
      <w:rFonts w:ascii="Times New Roman" w:hAnsi="Times New Roman" w:eastAsia="宋体" w:cs="Times New Roman"/>
      <w:sz w:val="21"/>
      <w14:ligatures w14:val="none"/>
    </w:rPr>
  </w:style>
  <w:style w:type="character" w:customStyle="1" w:styleId="47">
    <w:name w:val="未处理的提及1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8">
    <w:name w:val="页眉 字符"/>
    <w:basedOn w:val="21"/>
    <w:link w:val="14"/>
    <w:qFormat/>
    <w:uiPriority w:val="99"/>
    <w:rPr>
      <w:sz w:val="18"/>
      <w:szCs w:val="18"/>
    </w:rPr>
  </w:style>
  <w:style w:type="character" w:customStyle="1" w:styleId="49">
    <w:name w:val="页脚 字符"/>
    <w:basedOn w:val="21"/>
    <w:link w:val="13"/>
    <w:qFormat/>
    <w:uiPriority w:val="99"/>
    <w:rPr>
      <w:sz w:val="18"/>
      <w:szCs w:val="18"/>
    </w:rPr>
  </w:style>
  <w:style w:type="paragraph" w:customStyle="1" w:styleId="50">
    <w:name w:val="中文表序样式"/>
    <w:basedOn w:val="1"/>
    <w:link w:val="51"/>
    <w:qFormat/>
    <w:uiPriority w:val="0"/>
    <w:pPr>
      <w:widowControl/>
      <w:spacing w:after="0" w:line="240" w:lineRule="auto"/>
      <w:jc w:val="center"/>
    </w:pPr>
    <w:rPr>
      <w:rFonts w:ascii="Times New Roman" w:hAnsi="Times New Roman" w:eastAsia="黑体" w:cs="Times New Roman"/>
      <w:sz w:val="18"/>
      <w:szCs w:val="18"/>
      <w14:ligatures w14:val="none"/>
    </w:rPr>
  </w:style>
  <w:style w:type="character" w:customStyle="1" w:styleId="51">
    <w:name w:val="中文表序样式 Char"/>
    <w:basedOn w:val="21"/>
    <w:link w:val="50"/>
    <w:qFormat/>
    <w:uiPriority w:val="0"/>
    <w:rPr>
      <w:rFonts w:ascii="Times New Roman" w:hAnsi="Times New Roman" w:eastAsia="黑体" w:cs="Times New Roman"/>
      <w:sz w:val="18"/>
      <w:szCs w:val="18"/>
      <w14:ligatures w14:val="none"/>
    </w:rPr>
  </w:style>
  <w:style w:type="character" w:customStyle="1" w:styleId="52">
    <w:name w:val="尾注文本 字符"/>
    <w:basedOn w:val="21"/>
    <w:link w:val="12"/>
    <w:qFormat/>
    <w:uiPriority w:val="0"/>
    <w:rPr>
      <w:sz w:val="21"/>
      <w14:ligatures w14:val="none"/>
    </w:rPr>
  </w:style>
  <w:style w:type="paragraph" w:customStyle="1" w:styleId="53">
    <w:name w:val="ds-markdown-paragraph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character" w:customStyle="1" w:styleId="54">
    <w:name w:val="脚注文本 字符"/>
    <w:basedOn w:val="21"/>
    <w:link w:val="16"/>
    <w:semiHidden/>
    <w:qFormat/>
    <w:uiPriority w:val="99"/>
    <w:rPr>
      <w:sz w:val="18"/>
      <w:szCs w:val="18"/>
    </w:rPr>
  </w:style>
  <w:style w:type="paragraph" w:customStyle="1" w:styleId="55">
    <w:name w:val="参考文献内容样式"/>
    <w:basedOn w:val="1"/>
    <w:qFormat/>
    <w:uiPriority w:val="0"/>
    <w:pPr>
      <w:numPr>
        <w:ilvl w:val="0"/>
        <w:numId w:val="1"/>
      </w:numPr>
      <w:tabs>
        <w:tab w:val="left" w:pos="420"/>
        <w:tab w:val="clear" w:pos="473"/>
      </w:tabs>
      <w:spacing w:after="0" w:line="240" w:lineRule="auto"/>
      <w:ind w:left="0" w:hanging="200" w:hangingChars="200"/>
      <w:jc w:val="both"/>
    </w:pPr>
    <w:rPr>
      <w:rFonts w:ascii="Times New Roman" w:hAnsi="Times New Roman" w:eastAsia="宋体" w:cs="Times New Roman"/>
      <w:sz w:val="18"/>
      <w:szCs w:val="18"/>
      <w14:ligatures w14:val="none"/>
    </w:rPr>
  </w:style>
  <w:style w:type="paragraph" w:customStyle="1" w:styleId="5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customStyle="1" w:styleId="57">
    <w:name w:val="批注文字 字符"/>
    <w:basedOn w:val="21"/>
    <w:link w:val="11"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14:ligatures w14:val="standardContextual"/>
    </w:rPr>
  </w:style>
  <w:style w:type="character" w:customStyle="1" w:styleId="58">
    <w:name w:val="批注主题 字符"/>
    <w:basedOn w:val="57"/>
    <w:link w:val="18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2"/>
      <w:szCs w:val="24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71461-8C74-497E-9478-E358D2EA06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976</Words>
  <Characters>3129</Characters>
  <Lines>695</Lines>
  <Paragraphs>575</Paragraphs>
  <TotalTime>14</TotalTime>
  <ScaleCrop>false</ScaleCrop>
  <LinksUpToDate>false</LinksUpToDate>
  <CharactersWithSpaces>3440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2026-03-25T13:44:00Z</dcterms:created>
  <dc:creator>政辉 孔</dc:creator>
  <dc:description>邹</dc:description>
  <cp:lastModifiedBy>windy</cp:lastModifiedBy>
  <cp:lastPrinted>2026-01-09T02:54:00Z</cp:lastPrinted>
  <dcterms:modified xsi:type="dcterms:W3CDTF">2026-08-04T07:54:25Z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3E1B8FD12C48417D80C7D3071A5F5AB5_13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