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98A3D">
      <w:pPr>
        <w:pStyle w:val="15"/>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b/>
          <w:bCs/>
          <w:color w:val="auto"/>
          <w:sz w:val="21"/>
          <w:szCs w:val="21"/>
          <w:highlight w:val="none"/>
          <w:u w:val="none" w:color="auto"/>
          <w:shd w:val="clear" w:fill="auto"/>
          <w:lang w:val="en-US" w:eastAsia="zh-CN" w:bidi="ar-SA"/>
        </w:rPr>
      </w:pPr>
      <w:r>
        <w:rPr>
          <w:rFonts w:hint="default" w:ascii="Times New Roman" w:hAnsi="Times New Roman" w:eastAsia="宋体" w:cs="Times New Roman"/>
          <w:b/>
          <w:bCs/>
          <w:color w:val="auto"/>
          <w:sz w:val="21"/>
          <w:szCs w:val="21"/>
          <w:highlight w:val="none"/>
          <w:u w:val="none" w:color="auto"/>
          <w:shd w:val="clear" w:fill="auto"/>
          <w:lang w:val="en-US" w:eastAsia="zh-CN" w:bidi="ar-SA"/>
        </w:rPr>
        <w:t xml:space="preserve">表 1 </w:t>
      </w:r>
      <w:r>
        <w:rPr>
          <w:rFonts w:hint="eastAsia" w:eastAsia="宋体" w:cs="Times New Roman"/>
          <w:b/>
          <w:bCs/>
          <w:color w:val="auto"/>
          <w:sz w:val="21"/>
          <w:szCs w:val="21"/>
          <w:highlight w:val="none"/>
          <w:u w:val="none" w:color="auto"/>
          <w:shd w:val="clear" w:fill="auto"/>
          <w:lang w:val="en-US" w:eastAsia="zh-CN" w:bidi="ar-SA"/>
        </w:rPr>
        <w:t xml:space="preserve">  </w:t>
      </w:r>
      <w:r>
        <w:rPr>
          <w:rFonts w:hint="default" w:ascii="Times New Roman" w:hAnsi="Times New Roman" w:eastAsia="宋体" w:cs="Times New Roman"/>
          <w:b/>
          <w:bCs/>
          <w:color w:val="auto"/>
          <w:sz w:val="21"/>
          <w:szCs w:val="21"/>
          <w:highlight w:val="none"/>
          <w:u w:val="none" w:color="auto"/>
          <w:shd w:val="clear" w:fill="auto"/>
          <w:lang w:val="en-US" w:eastAsia="zh-CN" w:bidi="ar-SA"/>
        </w:rPr>
        <w:t>模型涉及参数</w:t>
      </w:r>
      <w:bookmarkStart w:id="0" w:name="_GoBack"/>
      <w:bookmarkEnd w:id="0"/>
    </w:p>
    <w:tbl>
      <w:tblPr>
        <w:tblStyle w:val="34"/>
        <w:tblW w:w="11410"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86"/>
        <w:gridCol w:w="1080"/>
        <w:gridCol w:w="2700"/>
        <w:gridCol w:w="1316"/>
        <w:gridCol w:w="1528"/>
      </w:tblGrid>
      <w:tr w14:paraId="5D40642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jc w:val="center"/>
        </w:trPr>
        <w:tc>
          <w:tcPr>
            <w:tcW w:w="4786" w:type="dxa"/>
            <w:tcBorders>
              <w:bottom w:val="single" w:color="auto" w:sz="8" w:space="0"/>
            </w:tcBorders>
            <w:shd w:val="clear" w:color="auto" w:fill="auto"/>
            <w:noWrap/>
            <w:vAlign w:val="center"/>
          </w:tcPr>
          <w:p w14:paraId="6B1B06A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top"/>
              <w:rPr>
                <w:rFonts w:hint="default" w:ascii="Times New Roman" w:hAnsi="Times New Roman" w:eastAsia="宋体" w:cs="Times New Roman"/>
                <w:b w:val="0"/>
                <w:bCs w:val="0"/>
                <w:i w:val="0"/>
                <w:iCs w:val="0"/>
                <w:color w:val="auto"/>
                <w:sz w:val="21"/>
                <w:szCs w:val="21"/>
                <w:highlight w:val="none"/>
                <w:u w:val="none" w:color="auto"/>
                <w:shd w:val="clear" w:fill="auto"/>
                <w:lang w:val="en-US"/>
              </w:rPr>
            </w:pP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参数类别</w:t>
            </w:r>
          </w:p>
        </w:tc>
        <w:tc>
          <w:tcPr>
            <w:tcW w:w="1080" w:type="dxa"/>
            <w:tcBorders>
              <w:bottom w:val="single" w:color="auto" w:sz="8" w:space="0"/>
            </w:tcBorders>
            <w:shd w:val="clear" w:color="auto" w:fill="auto"/>
            <w:noWrap/>
            <w:vAlign w:val="center"/>
          </w:tcPr>
          <w:p w14:paraId="0AF6020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top"/>
              <w:rPr>
                <w:rFonts w:hint="default" w:ascii="Times New Roman" w:hAnsi="Times New Roman" w:eastAsia="宋体" w:cs="Times New Roman"/>
                <w:b w:val="0"/>
                <w:bCs w:val="0"/>
                <w:i w:val="0"/>
                <w:iCs w:val="0"/>
                <w:color w:val="auto"/>
                <w:sz w:val="21"/>
                <w:szCs w:val="21"/>
                <w:highlight w:val="none"/>
                <w:u w:val="none" w:color="auto"/>
                <w:shd w:val="clear" w:fill="auto"/>
                <w:lang w:val="en-US"/>
              </w:rPr>
            </w:pP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基线取值</w:t>
            </w:r>
          </w:p>
        </w:tc>
        <w:tc>
          <w:tcPr>
            <w:tcW w:w="2700" w:type="dxa"/>
            <w:tcBorders>
              <w:bottom w:val="single" w:color="auto" w:sz="8" w:space="0"/>
            </w:tcBorders>
            <w:shd w:val="clear" w:color="auto" w:fill="auto"/>
            <w:noWrap/>
            <w:vAlign w:val="center"/>
          </w:tcPr>
          <w:p w14:paraId="6905504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top"/>
              <w:rPr>
                <w:rFonts w:hint="default" w:ascii="Times New Roman" w:hAnsi="Times New Roman" w:eastAsia="宋体" w:cs="Times New Roman"/>
                <w:b w:val="0"/>
                <w:bCs w:val="0"/>
                <w:i w:val="0"/>
                <w:iCs w:val="0"/>
                <w:color w:val="auto"/>
                <w:sz w:val="21"/>
                <w:szCs w:val="21"/>
                <w:highlight w:val="none"/>
                <w:u w:val="none" w:color="auto"/>
                <w:shd w:val="clear" w:fill="auto"/>
              </w:rPr>
            </w:pP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敏感性分析范围</w:t>
            </w:r>
          </w:p>
        </w:tc>
        <w:tc>
          <w:tcPr>
            <w:tcW w:w="1316" w:type="dxa"/>
            <w:tcBorders>
              <w:bottom w:val="single" w:color="auto" w:sz="8" w:space="0"/>
            </w:tcBorders>
            <w:shd w:val="clear" w:color="auto" w:fill="auto"/>
            <w:noWrap/>
            <w:vAlign w:val="center"/>
          </w:tcPr>
          <w:p w14:paraId="45B5E5B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top"/>
              <w:rPr>
                <w:rFonts w:hint="default" w:ascii="Times New Roman" w:hAnsi="Times New Roman" w:eastAsia="宋体" w:cs="Times New Roman"/>
                <w:b w:val="0"/>
                <w:bCs w:val="0"/>
                <w:i w:val="0"/>
                <w:iCs w:val="0"/>
                <w:color w:val="auto"/>
                <w:sz w:val="21"/>
                <w:szCs w:val="21"/>
                <w:highlight w:val="none"/>
                <w:u w:val="none" w:color="auto"/>
                <w:shd w:val="clear" w:fill="auto"/>
              </w:rPr>
            </w:pP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分布</w:t>
            </w:r>
          </w:p>
        </w:tc>
        <w:tc>
          <w:tcPr>
            <w:tcW w:w="1528" w:type="dxa"/>
            <w:tcBorders>
              <w:bottom w:val="single" w:color="auto" w:sz="8" w:space="0"/>
            </w:tcBorders>
            <w:shd w:val="clear" w:color="auto" w:fill="auto"/>
            <w:noWrap/>
            <w:vAlign w:val="center"/>
          </w:tcPr>
          <w:p w14:paraId="22B6C7F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top"/>
              <w:rPr>
                <w:rFonts w:hint="default" w:ascii="Times New Roman" w:hAnsi="Times New Roman" w:eastAsia="宋体" w:cs="Times New Roman"/>
                <w:b w:val="0"/>
                <w:bCs w:val="0"/>
                <w:i w:val="0"/>
                <w:iCs w:val="0"/>
                <w:color w:val="auto"/>
                <w:sz w:val="21"/>
                <w:szCs w:val="21"/>
                <w:highlight w:val="none"/>
                <w:u w:val="none" w:color="auto"/>
                <w:shd w:val="clear" w:fill="auto"/>
              </w:rPr>
            </w:pPr>
            <w:r>
              <w:rPr>
                <w:rFonts w:hint="default" w:ascii="Times New Roman" w:hAnsi="Times New Roman" w:eastAsia="宋体" w:cs="Times New Roman"/>
                <w:b w:val="0"/>
                <w:bCs w:val="0"/>
                <w:i w:val="0"/>
                <w:iCs w:val="0"/>
                <w:color w:val="auto"/>
                <w:kern w:val="0"/>
                <w:sz w:val="21"/>
                <w:szCs w:val="21"/>
                <w:highlight w:val="none"/>
                <w:u w:val="none" w:color="auto"/>
                <w:shd w:val="clear" w:fill="auto"/>
                <w:lang w:val="en-US" w:eastAsia="zh-CN" w:bidi="ar"/>
              </w:rPr>
              <w:t>来源</w:t>
            </w:r>
          </w:p>
        </w:tc>
      </w:tr>
      <w:tr w14:paraId="1C8AB1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tcBorders>
              <w:top w:val="single" w:color="auto" w:sz="8" w:space="0"/>
            </w:tcBorders>
            <w:shd w:val="clear" w:color="auto" w:fill="auto"/>
            <w:noWrap/>
            <w:vAlign w:val="center"/>
          </w:tcPr>
          <w:p w14:paraId="1309DD2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流行病学参数</w:t>
            </w:r>
          </w:p>
        </w:tc>
        <w:tc>
          <w:tcPr>
            <w:tcW w:w="1080" w:type="dxa"/>
            <w:tcBorders>
              <w:top w:val="single" w:color="auto" w:sz="8" w:space="0"/>
            </w:tcBorders>
            <w:shd w:val="clear" w:color="auto" w:fill="auto"/>
            <w:noWrap/>
            <w:vAlign w:val="center"/>
          </w:tcPr>
          <w:p w14:paraId="5D11A032">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2700" w:type="dxa"/>
            <w:tcBorders>
              <w:top w:val="single" w:color="auto" w:sz="8" w:space="0"/>
            </w:tcBorders>
            <w:shd w:val="clear" w:color="auto" w:fill="auto"/>
            <w:noWrap/>
            <w:vAlign w:val="center"/>
          </w:tcPr>
          <w:p w14:paraId="499D31BD">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rPr>
            </w:pPr>
          </w:p>
        </w:tc>
        <w:tc>
          <w:tcPr>
            <w:tcW w:w="1316" w:type="dxa"/>
            <w:tcBorders>
              <w:top w:val="single" w:color="auto" w:sz="8" w:space="0"/>
            </w:tcBorders>
            <w:shd w:val="clear" w:color="auto" w:fill="auto"/>
            <w:noWrap/>
            <w:vAlign w:val="center"/>
          </w:tcPr>
          <w:p w14:paraId="6FA445B5">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rPr>
            </w:pPr>
          </w:p>
        </w:tc>
        <w:tc>
          <w:tcPr>
            <w:tcW w:w="1528" w:type="dxa"/>
            <w:tcBorders>
              <w:top w:val="single" w:color="auto" w:sz="8" w:space="0"/>
            </w:tcBorders>
            <w:shd w:val="clear" w:color="auto" w:fill="auto"/>
            <w:noWrap/>
            <w:vAlign w:val="center"/>
          </w:tcPr>
          <w:p w14:paraId="414D71F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433C91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786" w:type="dxa"/>
            <w:shd w:val="clear" w:color="auto" w:fill="auto"/>
            <w:noWrap/>
            <w:vAlign w:val="center"/>
          </w:tcPr>
          <w:p w14:paraId="4F26C2A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广州市65岁以上人群IS发病率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6966034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1.52%</w:t>
            </w:r>
          </w:p>
        </w:tc>
        <w:tc>
          <w:tcPr>
            <w:tcW w:w="2700" w:type="dxa"/>
            <w:shd w:val="clear" w:color="auto" w:fill="auto"/>
            <w:noWrap/>
            <w:vAlign w:val="center"/>
          </w:tcPr>
          <w:p w14:paraId="093EA2E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69F64F5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restart"/>
            <w:shd w:val="clear" w:color="auto" w:fill="auto"/>
            <w:noWrap/>
            <w:vAlign w:val="center"/>
          </w:tcPr>
          <w:p w14:paraId="31B9C0D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sz w:val="21"/>
                <w:szCs w:val="21"/>
                <w:highlight w:val="none"/>
                <w:u w:val="none" w:color="auto"/>
                <w:shd w:val="clear" w:fill="auto"/>
                <w:lang w:val="en-US" w:eastAsia="zh-CN"/>
              </w:rPr>
              <w:t>广州市疾病</w:t>
            </w:r>
            <w:r>
              <w:rPr>
                <w:rFonts w:hint="eastAsia" w:ascii="Times New Roman" w:hAnsi="Times New Roman" w:eastAsia="宋体" w:cs="Times New Roman"/>
                <w:i w:val="0"/>
                <w:iCs w:val="0"/>
                <w:color w:val="auto"/>
                <w:sz w:val="21"/>
                <w:szCs w:val="21"/>
                <w:highlight w:val="none"/>
                <w:u w:val="none" w:color="auto"/>
                <w:shd w:val="clear" w:fill="auto"/>
                <w:lang w:val="en-US" w:eastAsia="zh-CN"/>
              </w:rPr>
              <w:t>预防</w:t>
            </w:r>
            <w:r>
              <w:rPr>
                <w:rFonts w:hint="default" w:ascii="Times New Roman" w:hAnsi="Times New Roman" w:eastAsia="宋体" w:cs="Times New Roman"/>
                <w:i w:val="0"/>
                <w:iCs w:val="0"/>
                <w:color w:val="auto"/>
                <w:sz w:val="21"/>
                <w:szCs w:val="21"/>
                <w:highlight w:val="none"/>
                <w:u w:val="none" w:color="auto"/>
                <w:shd w:val="clear" w:fill="auto"/>
                <w:lang w:val="en-US" w:eastAsia="zh-CN"/>
              </w:rPr>
              <w:t>控制中心</w:t>
            </w:r>
          </w:p>
        </w:tc>
      </w:tr>
      <w:tr w14:paraId="5FA01D0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5F89544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广州市65岁以上人群ICH发病率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1CB6E32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0.22%</w:t>
            </w:r>
          </w:p>
        </w:tc>
        <w:tc>
          <w:tcPr>
            <w:tcW w:w="2700" w:type="dxa"/>
            <w:shd w:val="clear" w:color="auto" w:fill="auto"/>
            <w:noWrap/>
            <w:vAlign w:val="center"/>
          </w:tcPr>
          <w:p w14:paraId="06ACD38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3201A64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3420CA2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559325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6EE09C9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广州市居民2024年期望寿命</w:t>
            </w:r>
          </w:p>
        </w:tc>
        <w:tc>
          <w:tcPr>
            <w:tcW w:w="1080" w:type="dxa"/>
            <w:shd w:val="clear" w:color="auto" w:fill="auto"/>
            <w:noWrap/>
            <w:vAlign w:val="center"/>
          </w:tcPr>
          <w:p w14:paraId="07B9403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84.00</w:t>
            </w:r>
          </w:p>
        </w:tc>
        <w:tc>
          <w:tcPr>
            <w:tcW w:w="2700" w:type="dxa"/>
            <w:shd w:val="clear" w:color="auto" w:fill="auto"/>
            <w:noWrap/>
            <w:vAlign w:val="center"/>
          </w:tcPr>
          <w:p w14:paraId="5B4A9B3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4275304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shd w:val="clear" w:color="auto" w:fill="auto"/>
            <w:noWrap/>
            <w:vAlign w:val="center"/>
          </w:tcPr>
          <w:p w14:paraId="1B51A6C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16</w:t>
            </w:r>
            <w:r>
              <w:rPr>
                <w:rFonts w:hint="default" w:ascii="Times New Roman" w:hAnsi="Times New Roman" w:eastAsia="宋体"/>
                <w:color w:val="auto"/>
                <w:sz w:val="21"/>
                <w:szCs w:val="24"/>
                <w:highlight w:val="none"/>
                <w:u w:val="none" w:color="auto"/>
                <w:shd w:val="clear" w:fill="auto"/>
                <w:vertAlign w:val="superscript"/>
              </w:rPr>
              <w:t>]</w:t>
            </w:r>
          </w:p>
        </w:tc>
      </w:tr>
      <w:tr w14:paraId="73C530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1570C70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房颤筛查项目检测阳性率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47BF789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3.8%</w:t>
            </w:r>
          </w:p>
        </w:tc>
        <w:tc>
          <w:tcPr>
            <w:tcW w:w="2700" w:type="dxa"/>
            <w:shd w:val="clear" w:color="auto" w:fill="auto"/>
            <w:noWrap/>
            <w:vAlign w:val="center"/>
          </w:tcPr>
          <w:p w14:paraId="38949E6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11E2440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shd w:val="clear" w:color="auto" w:fill="auto"/>
            <w:noWrap/>
            <w:vAlign w:val="center"/>
          </w:tcPr>
          <w:p w14:paraId="6E7B74C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color w:val="auto"/>
                <w:sz w:val="21"/>
                <w:szCs w:val="21"/>
                <w:highlight w:val="none"/>
                <w:u w:val="none" w:color="auto"/>
                <w:shd w:val="clear" w:fill="auto"/>
              </w:rPr>
              <w:t>城市医疗集团</w:t>
            </w:r>
            <w:r>
              <w:rPr>
                <w:rFonts w:hint="default" w:ascii="Times New Roman" w:hAnsi="Times New Roman" w:eastAsia="宋体" w:cs="Times New Roman"/>
                <w:color w:val="auto"/>
                <w:sz w:val="21"/>
                <w:szCs w:val="21"/>
                <w:highlight w:val="none"/>
                <w:u w:val="none" w:color="auto"/>
                <w:shd w:val="clear" w:fill="auto"/>
                <w:lang w:val="en-US" w:eastAsia="zh-CN"/>
              </w:rPr>
              <w:t>房颤筛查</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项目数据</w:t>
            </w:r>
          </w:p>
        </w:tc>
      </w:tr>
      <w:tr w14:paraId="11172EC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6BC2F90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房颤筛查项目中医院就诊人群基线患病率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3D138E5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1.22%</w:t>
            </w:r>
          </w:p>
        </w:tc>
        <w:tc>
          <w:tcPr>
            <w:tcW w:w="2700" w:type="dxa"/>
            <w:shd w:val="clear" w:color="auto" w:fill="auto"/>
            <w:noWrap/>
            <w:vAlign w:val="center"/>
          </w:tcPr>
          <w:p w14:paraId="340B2F8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63D548B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shd w:val="clear" w:color="auto" w:fill="auto"/>
            <w:noWrap/>
            <w:vAlign w:val="center"/>
          </w:tcPr>
          <w:p w14:paraId="2C6A023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027544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7674736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广州市无症状</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房颤</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患病率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546C726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0.60%</w:t>
            </w:r>
          </w:p>
        </w:tc>
        <w:tc>
          <w:tcPr>
            <w:tcW w:w="2700" w:type="dxa"/>
            <w:shd w:val="clear" w:color="auto" w:fill="auto"/>
            <w:noWrap/>
            <w:vAlign w:val="center"/>
          </w:tcPr>
          <w:p w14:paraId="27FA871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0.54%～0.66%</w:t>
            </w:r>
          </w:p>
        </w:tc>
        <w:tc>
          <w:tcPr>
            <w:tcW w:w="1316" w:type="dxa"/>
            <w:shd w:val="clear" w:color="auto" w:fill="auto"/>
            <w:noWrap/>
            <w:vAlign w:val="center"/>
          </w:tcPr>
          <w:p w14:paraId="6DCA8B1B">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528" w:type="dxa"/>
            <w:shd w:val="clear" w:color="auto" w:fill="auto"/>
            <w:noWrap/>
            <w:vAlign w:val="center"/>
          </w:tcPr>
          <w:p w14:paraId="6C0D90E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18-19</w:t>
            </w:r>
            <w:r>
              <w:rPr>
                <w:rFonts w:hint="default" w:ascii="Times New Roman" w:hAnsi="Times New Roman" w:eastAsia="宋体"/>
                <w:color w:val="auto"/>
                <w:sz w:val="21"/>
                <w:szCs w:val="24"/>
                <w:highlight w:val="none"/>
                <w:u w:val="none" w:color="auto"/>
                <w:shd w:val="clear" w:fill="auto"/>
                <w:vertAlign w:val="superscript"/>
              </w:rPr>
              <w:t>]</w:t>
            </w:r>
          </w:p>
        </w:tc>
      </w:tr>
      <w:tr w14:paraId="00EF75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4786" w:type="dxa"/>
            <w:shd w:val="clear" w:color="auto" w:fill="auto"/>
            <w:noWrap/>
            <w:vAlign w:val="center"/>
          </w:tcPr>
          <w:p w14:paraId="64C39F4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概率参数</w:t>
            </w:r>
          </w:p>
        </w:tc>
        <w:tc>
          <w:tcPr>
            <w:tcW w:w="1080" w:type="dxa"/>
            <w:shd w:val="clear" w:color="auto" w:fill="auto"/>
            <w:noWrap/>
            <w:vAlign w:val="center"/>
          </w:tcPr>
          <w:p w14:paraId="0091BED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p>
        </w:tc>
        <w:tc>
          <w:tcPr>
            <w:tcW w:w="2700" w:type="dxa"/>
            <w:shd w:val="clear" w:color="auto" w:fill="auto"/>
            <w:noWrap/>
            <w:vAlign w:val="center"/>
          </w:tcPr>
          <w:p w14:paraId="19B0A53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316" w:type="dxa"/>
            <w:shd w:val="clear" w:color="auto" w:fill="auto"/>
            <w:noWrap/>
            <w:vAlign w:val="center"/>
          </w:tcPr>
          <w:p w14:paraId="411E546D">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528" w:type="dxa"/>
            <w:shd w:val="clear" w:color="auto" w:fill="auto"/>
            <w:noWrap/>
            <w:vAlign w:val="center"/>
          </w:tcPr>
          <w:p w14:paraId="683C58E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1E4135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733317F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无筛查情况下无症状</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房颤</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自行出现症状得到诊断的概率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434FA7F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1.27%</w:t>
            </w:r>
          </w:p>
        </w:tc>
        <w:tc>
          <w:tcPr>
            <w:tcW w:w="2700" w:type="dxa"/>
            <w:shd w:val="clear" w:color="auto" w:fill="auto"/>
            <w:noWrap/>
            <w:vAlign w:val="center"/>
          </w:tcPr>
          <w:p w14:paraId="251C094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1.15%～1.40%</w:t>
            </w:r>
          </w:p>
        </w:tc>
        <w:tc>
          <w:tcPr>
            <w:tcW w:w="1316" w:type="dxa"/>
            <w:shd w:val="clear" w:color="auto" w:fill="auto"/>
            <w:noWrap/>
            <w:vAlign w:val="center"/>
          </w:tcPr>
          <w:p w14:paraId="6137C2FA">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528" w:type="dxa"/>
            <w:shd w:val="clear" w:color="auto" w:fill="auto"/>
            <w:noWrap/>
            <w:vAlign w:val="center"/>
          </w:tcPr>
          <w:p w14:paraId="2E042F3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6</w:t>
            </w:r>
            <w:r>
              <w:rPr>
                <w:rFonts w:hint="default" w:ascii="Times New Roman" w:hAnsi="Times New Roman" w:eastAsia="宋体"/>
                <w:color w:val="auto"/>
                <w:sz w:val="21"/>
                <w:szCs w:val="24"/>
                <w:highlight w:val="none"/>
                <w:u w:val="none" w:color="auto"/>
                <w:shd w:val="clear" w:fill="auto"/>
                <w:vertAlign w:val="superscript"/>
              </w:rPr>
              <w:t>]</w:t>
            </w:r>
          </w:p>
        </w:tc>
      </w:tr>
      <w:tr w14:paraId="3C60AA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786" w:type="dxa"/>
            <w:shd w:val="clear" w:color="auto" w:fill="auto"/>
            <w:noWrap/>
            <w:vAlign w:val="center"/>
          </w:tcPr>
          <w:p w14:paraId="3015E51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从健康状态转移至</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房颤</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概率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575B4C5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4.50%</w:t>
            </w:r>
          </w:p>
        </w:tc>
        <w:tc>
          <w:tcPr>
            <w:tcW w:w="2700" w:type="dxa"/>
            <w:shd w:val="clear" w:color="auto" w:fill="auto"/>
            <w:noWrap/>
            <w:vAlign w:val="center"/>
          </w:tcPr>
          <w:p w14:paraId="7BE9AD9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4.05%～4.95%</w:t>
            </w:r>
          </w:p>
        </w:tc>
        <w:tc>
          <w:tcPr>
            <w:tcW w:w="1316" w:type="dxa"/>
            <w:shd w:val="clear" w:color="auto" w:fill="auto"/>
            <w:noWrap/>
            <w:vAlign w:val="center"/>
          </w:tcPr>
          <w:p w14:paraId="70D7FB4D">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528" w:type="dxa"/>
            <w:shd w:val="clear" w:color="auto" w:fill="auto"/>
            <w:noWrap/>
            <w:vAlign w:val="center"/>
          </w:tcPr>
          <w:p w14:paraId="1D05710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20</w:t>
            </w:r>
            <w:r>
              <w:rPr>
                <w:rFonts w:hint="default" w:ascii="Times New Roman" w:hAnsi="Times New Roman" w:eastAsia="宋体"/>
                <w:color w:val="auto"/>
                <w:sz w:val="21"/>
                <w:szCs w:val="24"/>
                <w:highlight w:val="none"/>
                <w:u w:val="none" w:color="auto"/>
                <w:shd w:val="clear" w:fill="auto"/>
                <w:vertAlign w:val="superscript"/>
              </w:rPr>
              <w:t>]</w:t>
            </w:r>
          </w:p>
        </w:tc>
      </w:tr>
      <w:tr w14:paraId="14B1FB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763714E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年龄别从健康状态转移至IS概率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7E7AF3A6">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p>
        </w:tc>
        <w:tc>
          <w:tcPr>
            <w:tcW w:w="2700" w:type="dxa"/>
            <w:shd w:val="clear" w:color="auto" w:fill="auto"/>
            <w:noWrap/>
            <w:vAlign w:val="center"/>
          </w:tcPr>
          <w:p w14:paraId="005241AF">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316" w:type="dxa"/>
            <w:shd w:val="clear" w:color="auto" w:fill="auto"/>
            <w:noWrap/>
            <w:vAlign w:val="center"/>
          </w:tcPr>
          <w:p w14:paraId="4F757414">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528" w:type="dxa"/>
            <w:vMerge w:val="restart"/>
            <w:shd w:val="clear" w:color="auto" w:fill="auto"/>
            <w:noWrap/>
            <w:vAlign w:val="center"/>
          </w:tcPr>
          <w:p w14:paraId="7E0CA2F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18</w:t>
            </w:r>
            <w:r>
              <w:rPr>
                <w:rFonts w:hint="default" w:ascii="Times New Roman" w:hAnsi="Times New Roman" w:eastAsia="宋体"/>
                <w:color w:val="auto"/>
                <w:sz w:val="21"/>
                <w:szCs w:val="24"/>
                <w:highlight w:val="none"/>
                <w:u w:val="none" w:color="auto"/>
                <w:shd w:val="clear" w:fill="auto"/>
                <w:vertAlign w:val="superscript"/>
              </w:rPr>
              <w:t xml:space="preserve">, </w:t>
            </w:r>
            <w:r>
              <w:rPr>
                <w:rFonts w:hint="eastAsia" w:ascii="Times New Roman" w:hAnsi="Times New Roman" w:eastAsia="宋体"/>
                <w:color w:val="auto"/>
                <w:sz w:val="21"/>
                <w:szCs w:val="24"/>
                <w:highlight w:val="none"/>
                <w:u w:val="none" w:color="auto"/>
                <w:shd w:val="clear" w:fill="auto"/>
                <w:vertAlign w:val="superscript"/>
                <w:lang w:val="en-US" w:eastAsia="zh-CN"/>
              </w:rPr>
              <w:t>21</w:t>
            </w:r>
            <w:r>
              <w:rPr>
                <w:rFonts w:hint="default" w:ascii="Times New Roman" w:hAnsi="Times New Roman" w:eastAsia="宋体"/>
                <w:color w:val="auto"/>
                <w:sz w:val="21"/>
                <w:szCs w:val="24"/>
                <w:highlight w:val="none"/>
                <w:u w:val="none" w:color="auto"/>
                <w:shd w:val="clear" w:fill="auto"/>
                <w:vertAlign w:val="superscript"/>
              </w:rPr>
              <w:t>]</w:t>
            </w:r>
          </w:p>
        </w:tc>
      </w:tr>
      <w:tr w14:paraId="37F4B8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32DDA28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65~70岁</w:t>
            </w:r>
          </w:p>
        </w:tc>
        <w:tc>
          <w:tcPr>
            <w:tcW w:w="1080" w:type="dxa"/>
            <w:shd w:val="clear" w:color="auto" w:fill="auto"/>
            <w:noWrap/>
            <w:vAlign w:val="center"/>
          </w:tcPr>
          <w:p w14:paraId="5158753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0.73%</w:t>
            </w:r>
          </w:p>
        </w:tc>
        <w:tc>
          <w:tcPr>
            <w:tcW w:w="2700" w:type="dxa"/>
            <w:shd w:val="clear" w:color="auto" w:fill="auto"/>
            <w:noWrap/>
            <w:vAlign w:val="center"/>
          </w:tcPr>
          <w:p w14:paraId="5C6D6B5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1EBDB13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62E73F7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0E60CA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4B86E07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71~75岁</w:t>
            </w:r>
          </w:p>
        </w:tc>
        <w:tc>
          <w:tcPr>
            <w:tcW w:w="1080" w:type="dxa"/>
            <w:shd w:val="clear" w:color="auto" w:fill="auto"/>
            <w:noWrap/>
            <w:vAlign w:val="center"/>
          </w:tcPr>
          <w:p w14:paraId="0EA7559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0.91%</w:t>
            </w:r>
          </w:p>
        </w:tc>
        <w:tc>
          <w:tcPr>
            <w:tcW w:w="2700" w:type="dxa"/>
            <w:shd w:val="clear" w:color="auto" w:fill="auto"/>
            <w:noWrap/>
            <w:vAlign w:val="center"/>
          </w:tcPr>
          <w:p w14:paraId="4565E61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283C328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6038655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3F465FA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72AC45A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76~80岁</w:t>
            </w:r>
          </w:p>
        </w:tc>
        <w:tc>
          <w:tcPr>
            <w:tcW w:w="1080" w:type="dxa"/>
            <w:shd w:val="clear" w:color="auto" w:fill="auto"/>
            <w:noWrap/>
            <w:vAlign w:val="center"/>
          </w:tcPr>
          <w:p w14:paraId="2F5A9B2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1.07%</w:t>
            </w:r>
          </w:p>
        </w:tc>
        <w:tc>
          <w:tcPr>
            <w:tcW w:w="2700" w:type="dxa"/>
            <w:shd w:val="clear" w:color="auto" w:fill="auto"/>
            <w:noWrap/>
            <w:vAlign w:val="center"/>
          </w:tcPr>
          <w:p w14:paraId="29192FF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1D1EB34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73AC85B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38FAD2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572CEC3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81~85岁</w:t>
            </w:r>
          </w:p>
        </w:tc>
        <w:tc>
          <w:tcPr>
            <w:tcW w:w="1080" w:type="dxa"/>
            <w:shd w:val="clear" w:color="auto" w:fill="auto"/>
            <w:noWrap/>
            <w:vAlign w:val="center"/>
          </w:tcPr>
          <w:p w14:paraId="7B43997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1.00%</w:t>
            </w:r>
          </w:p>
        </w:tc>
        <w:tc>
          <w:tcPr>
            <w:tcW w:w="2700" w:type="dxa"/>
            <w:shd w:val="clear" w:color="auto" w:fill="auto"/>
            <w:noWrap/>
            <w:vAlign w:val="center"/>
          </w:tcPr>
          <w:p w14:paraId="5C765F9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01D9EFB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7D99B0C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37F192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75B90DD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86~90岁</w:t>
            </w:r>
          </w:p>
        </w:tc>
        <w:tc>
          <w:tcPr>
            <w:tcW w:w="1080" w:type="dxa"/>
            <w:shd w:val="clear" w:color="auto" w:fill="auto"/>
            <w:noWrap/>
            <w:vAlign w:val="center"/>
          </w:tcPr>
          <w:p w14:paraId="436EC72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0.88%</w:t>
            </w:r>
          </w:p>
        </w:tc>
        <w:tc>
          <w:tcPr>
            <w:tcW w:w="2700" w:type="dxa"/>
            <w:shd w:val="clear" w:color="auto" w:fill="auto"/>
            <w:noWrap/>
            <w:vAlign w:val="center"/>
          </w:tcPr>
          <w:p w14:paraId="0B672B3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77DE598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61F8BEE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0EF027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154E22E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年龄别从健康状态和</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房颤</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状态转移至ICH概率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49D076FE">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p>
        </w:tc>
        <w:tc>
          <w:tcPr>
            <w:tcW w:w="2700" w:type="dxa"/>
            <w:shd w:val="clear" w:color="auto" w:fill="auto"/>
            <w:noWrap/>
            <w:vAlign w:val="center"/>
          </w:tcPr>
          <w:p w14:paraId="185E2C09">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316" w:type="dxa"/>
            <w:shd w:val="clear" w:color="auto" w:fill="auto"/>
            <w:noWrap/>
            <w:vAlign w:val="center"/>
          </w:tcPr>
          <w:p w14:paraId="033AD7E3">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528" w:type="dxa"/>
            <w:vMerge w:val="continue"/>
            <w:shd w:val="clear" w:color="auto" w:fill="auto"/>
            <w:noWrap/>
            <w:vAlign w:val="center"/>
          </w:tcPr>
          <w:p w14:paraId="3DB87DB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221782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786" w:type="dxa"/>
            <w:shd w:val="clear" w:color="auto" w:fill="auto"/>
            <w:noWrap/>
            <w:vAlign w:val="center"/>
          </w:tcPr>
          <w:p w14:paraId="1648330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65~70岁</w:t>
            </w:r>
          </w:p>
        </w:tc>
        <w:tc>
          <w:tcPr>
            <w:tcW w:w="1080" w:type="dxa"/>
            <w:shd w:val="clear" w:color="auto" w:fill="auto"/>
            <w:noWrap/>
            <w:vAlign w:val="center"/>
          </w:tcPr>
          <w:p w14:paraId="353A870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0.13%</w:t>
            </w:r>
          </w:p>
        </w:tc>
        <w:tc>
          <w:tcPr>
            <w:tcW w:w="2700" w:type="dxa"/>
            <w:shd w:val="clear" w:color="auto" w:fill="auto"/>
            <w:noWrap/>
            <w:vAlign w:val="center"/>
          </w:tcPr>
          <w:p w14:paraId="2C73AEC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35CCD50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6CE24A2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44968C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21BF3D5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71~75岁</w:t>
            </w:r>
          </w:p>
        </w:tc>
        <w:tc>
          <w:tcPr>
            <w:tcW w:w="1080" w:type="dxa"/>
            <w:shd w:val="clear" w:color="auto" w:fill="auto"/>
            <w:noWrap/>
            <w:vAlign w:val="center"/>
          </w:tcPr>
          <w:p w14:paraId="11A000E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0.22%</w:t>
            </w:r>
          </w:p>
        </w:tc>
        <w:tc>
          <w:tcPr>
            <w:tcW w:w="2700" w:type="dxa"/>
            <w:shd w:val="clear" w:color="auto" w:fill="auto"/>
            <w:noWrap/>
            <w:vAlign w:val="center"/>
          </w:tcPr>
          <w:p w14:paraId="1C61704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5D41E0A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3412FE0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47BA7A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7388B4E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76~80岁</w:t>
            </w:r>
          </w:p>
        </w:tc>
        <w:tc>
          <w:tcPr>
            <w:tcW w:w="1080" w:type="dxa"/>
            <w:shd w:val="clear" w:color="auto" w:fill="auto"/>
            <w:noWrap/>
            <w:vAlign w:val="center"/>
          </w:tcPr>
          <w:p w14:paraId="1CB5540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0.36%</w:t>
            </w:r>
          </w:p>
        </w:tc>
        <w:tc>
          <w:tcPr>
            <w:tcW w:w="2700" w:type="dxa"/>
            <w:shd w:val="clear" w:color="auto" w:fill="auto"/>
            <w:noWrap/>
            <w:vAlign w:val="center"/>
          </w:tcPr>
          <w:p w14:paraId="2F8F8CE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2E35627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2F8080A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5EE62D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5BE5B48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81~85岁</w:t>
            </w:r>
          </w:p>
        </w:tc>
        <w:tc>
          <w:tcPr>
            <w:tcW w:w="1080" w:type="dxa"/>
            <w:shd w:val="clear" w:color="auto" w:fill="auto"/>
            <w:noWrap/>
            <w:vAlign w:val="center"/>
          </w:tcPr>
          <w:p w14:paraId="69DC9A3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0.47%</w:t>
            </w:r>
          </w:p>
        </w:tc>
        <w:tc>
          <w:tcPr>
            <w:tcW w:w="2700" w:type="dxa"/>
            <w:shd w:val="clear" w:color="auto" w:fill="auto"/>
            <w:noWrap/>
            <w:vAlign w:val="center"/>
          </w:tcPr>
          <w:p w14:paraId="4DC68E4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2624A27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754B306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5156347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54516D6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86~90岁</w:t>
            </w:r>
          </w:p>
        </w:tc>
        <w:tc>
          <w:tcPr>
            <w:tcW w:w="1080" w:type="dxa"/>
            <w:shd w:val="clear" w:color="auto" w:fill="auto"/>
            <w:noWrap/>
            <w:vAlign w:val="center"/>
          </w:tcPr>
          <w:p w14:paraId="0C214D4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0.54%</w:t>
            </w:r>
          </w:p>
        </w:tc>
        <w:tc>
          <w:tcPr>
            <w:tcW w:w="2700" w:type="dxa"/>
            <w:shd w:val="clear" w:color="auto" w:fill="auto"/>
            <w:noWrap/>
            <w:vAlign w:val="center"/>
          </w:tcPr>
          <w:p w14:paraId="5141BEB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4AA1FB5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49AF8AA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3A96D99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1E0BD4C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患有</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房颤</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增加IS风险的RR</w:t>
            </w:r>
          </w:p>
        </w:tc>
        <w:tc>
          <w:tcPr>
            <w:tcW w:w="1080" w:type="dxa"/>
            <w:shd w:val="clear" w:color="auto" w:fill="auto"/>
            <w:noWrap/>
            <w:vAlign w:val="center"/>
          </w:tcPr>
          <w:p w14:paraId="7BC3FBC2">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t>5.00</w:t>
            </w:r>
          </w:p>
        </w:tc>
        <w:tc>
          <w:tcPr>
            <w:tcW w:w="2700" w:type="dxa"/>
            <w:shd w:val="clear" w:color="auto" w:fill="auto"/>
            <w:noWrap/>
            <w:vAlign w:val="center"/>
          </w:tcPr>
          <w:p w14:paraId="6EB60462">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450.00%～550.00%</w:t>
            </w:r>
          </w:p>
        </w:tc>
        <w:tc>
          <w:tcPr>
            <w:tcW w:w="1316" w:type="dxa"/>
            <w:shd w:val="clear" w:color="auto" w:fill="auto"/>
            <w:noWrap/>
            <w:vAlign w:val="center"/>
          </w:tcPr>
          <w:p w14:paraId="054AD9DA">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Log-normal</w:t>
            </w:r>
          </w:p>
        </w:tc>
        <w:tc>
          <w:tcPr>
            <w:tcW w:w="1528" w:type="dxa"/>
            <w:vMerge w:val="continue"/>
            <w:shd w:val="clear" w:color="auto" w:fill="auto"/>
            <w:noWrap/>
            <w:vAlign w:val="center"/>
          </w:tcPr>
          <w:p w14:paraId="25BDBCD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1909AC3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4DC2E19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抗凝治疗降低IS风险RR</w:t>
            </w:r>
          </w:p>
        </w:tc>
        <w:tc>
          <w:tcPr>
            <w:tcW w:w="1080" w:type="dxa"/>
            <w:shd w:val="clear" w:color="auto" w:fill="auto"/>
            <w:noWrap/>
            <w:vAlign w:val="center"/>
          </w:tcPr>
          <w:p w14:paraId="49F09BC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0.27</w:t>
            </w:r>
          </w:p>
        </w:tc>
        <w:tc>
          <w:tcPr>
            <w:tcW w:w="2700" w:type="dxa"/>
            <w:shd w:val="clear" w:color="auto" w:fill="auto"/>
            <w:noWrap/>
            <w:vAlign w:val="center"/>
          </w:tcPr>
          <w:p w14:paraId="3742316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24.30% ~ 29.70%</w:t>
            </w:r>
          </w:p>
        </w:tc>
        <w:tc>
          <w:tcPr>
            <w:tcW w:w="1316" w:type="dxa"/>
            <w:shd w:val="clear" w:color="auto" w:fill="auto"/>
            <w:noWrap/>
            <w:vAlign w:val="center"/>
          </w:tcPr>
          <w:p w14:paraId="08CC2D5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Log-normal</w:t>
            </w:r>
          </w:p>
        </w:tc>
        <w:tc>
          <w:tcPr>
            <w:tcW w:w="1528" w:type="dxa"/>
            <w:shd w:val="clear" w:color="auto" w:fill="auto"/>
            <w:noWrap/>
            <w:vAlign w:val="center"/>
          </w:tcPr>
          <w:p w14:paraId="3C04BB9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22</w:t>
            </w:r>
            <w:r>
              <w:rPr>
                <w:rFonts w:hint="default" w:ascii="Times New Roman" w:hAnsi="Times New Roman" w:eastAsia="宋体"/>
                <w:color w:val="auto"/>
                <w:sz w:val="21"/>
                <w:szCs w:val="24"/>
                <w:highlight w:val="none"/>
                <w:u w:val="none" w:color="auto"/>
                <w:shd w:val="clear" w:fill="auto"/>
                <w:vertAlign w:val="superscript"/>
              </w:rPr>
              <w:t>]</w:t>
            </w:r>
          </w:p>
        </w:tc>
      </w:tr>
      <w:tr w14:paraId="504F3E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2A84710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抗凝治疗降低全因死亡风险RR</w:t>
            </w:r>
          </w:p>
        </w:tc>
        <w:tc>
          <w:tcPr>
            <w:tcW w:w="1080" w:type="dxa"/>
            <w:shd w:val="clear" w:color="auto" w:fill="auto"/>
            <w:noWrap/>
            <w:vAlign w:val="center"/>
          </w:tcPr>
          <w:p w14:paraId="13726A5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0.67</w:t>
            </w:r>
          </w:p>
        </w:tc>
        <w:tc>
          <w:tcPr>
            <w:tcW w:w="2700" w:type="dxa"/>
            <w:shd w:val="clear" w:color="auto" w:fill="auto"/>
            <w:noWrap/>
            <w:vAlign w:val="center"/>
          </w:tcPr>
          <w:p w14:paraId="6CA3A99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60.30% ~ 73.70%</w:t>
            </w:r>
          </w:p>
        </w:tc>
        <w:tc>
          <w:tcPr>
            <w:tcW w:w="1316" w:type="dxa"/>
            <w:shd w:val="clear" w:color="auto" w:fill="auto"/>
            <w:noWrap/>
            <w:vAlign w:val="center"/>
          </w:tcPr>
          <w:p w14:paraId="3DFC70E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Log-normal</w:t>
            </w:r>
          </w:p>
        </w:tc>
        <w:tc>
          <w:tcPr>
            <w:tcW w:w="1528" w:type="dxa"/>
            <w:shd w:val="clear" w:color="auto" w:fill="auto"/>
            <w:noWrap/>
            <w:vAlign w:val="center"/>
          </w:tcPr>
          <w:p w14:paraId="1180411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23</w:t>
            </w:r>
            <w:r>
              <w:rPr>
                <w:rFonts w:hint="default" w:ascii="Times New Roman" w:hAnsi="Times New Roman" w:eastAsia="宋体"/>
                <w:color w:val="auto"/>
                <w:sz w:val="21"/>
                <w:szCs w:val="24"/>
                <w:highlight w:val="none"/>
                <w:u w:val="none" w:color="auto"/>
                <w:shd w:val="clear" w:fill="auto"/>
                <w:vertAlign w:val="superscript"/>
              </w:rPr>
              <w:t>]</w:t>
            </w:r>
          </w:p>
        </w:tc>
      </w:tr>
      <w:tr w14:paraId="0B6F174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4786" w:type="dxa"/>
            <w:shd w:val="clear" w:color="auto" w:fill="auto"/>
            <w:noWrap/>
            <w:vAlign w:val="center"/>
          </w:tcPr>
          <w:p w14:paraId="1E3A5EC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抗凝治疗增加ICH风险RR</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137183D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134%</w:t>
            </w:r>
          </w:p>
        </w:tc>
        <w:tc>
          <w:tcPr>
            <w:tcW w:w="2700" w:type="dxa"/>
            <w:shd w:val="clear" w:color="auto" w:fill="auto"/>
            <w:noWrap/>
            <w:vAlign w:val="center"/>
          </w:tcPr>
          <w:p w14:paraId="6A20BC8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120.60% ~ 147.40%</w:t>
            </w:r>
          </w:p>
        </w:tc>
        <w:tc>
          <w:tcPr>
            <w:tcW w:w="1316" w:type="dxa"/>
            <w:shd w:val="clear" w:color="auto" w:fill="auto"/>
            <w:noWrap/>
            <w:vAlign w:val="center"/>
          </w:tcPr>
          <w:p w14:paraId="49BB5DA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Log-normal</w:t>
            </w:r>
          </w:p>
        </w:tc>
        <w:tc>
          <w:tcPr>
            <w:tcW w:w="1528" w:type="dxa"/>
            <w:shd w:val="clear" w:color="auto" w:fill="auto"/>
            <w:noWrap/>
            <w:vAlign w:val="center"/>
          </w:tcPr>
          <w:p w14:paraId="49FE68C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3</w:t>
            </w:r>
            <w:r>
              <w:rPr>
                <w:rFonts w:hint="default" w:ascii="Times New Roman" w:hAnsi="Times New Roman" w:eastAsia="宋体"/>
                <w:color w:val="auto"/>
                <w:sz w:val="21"/>
                <w:szCs w:val="24"/>
                <w:highlight w:val="none"/>
                <w:u w:val="none" w:color="auto"/>
                <w:shd w:val="clear" w:fill="auto"/>
                <w:vertAlign w:val="superscript"/>
              </w:rPr>
              <w:t xml:space="preserve">, </w:t>
            </w:r>
            <w:r>
              <w:rPr>
                <w:rFonts w:hint="eastAsia" w:ascii="Times New Roman" w:hAnsi="Times New Roman" w:eastAsia="宋体"/>
                <w:color w:val="auto"/>
                <w:sz w:val="21"/>
                <w:szCs w:val="24"/>
                <w:highlight w:val="none"/>
                <w:u w:val="none" w:color="auto"/>
                <w:shd w:val="clear" w:fill="auto"/>
                <w:vertAlign w:val="superscript"/>
                <w:lang w:val="en-US" w:eastAsia="zh-CN"/>
              </w:rPr>
              <w:t>24</w:t>
            </w:r>
            <w:r>
              <w:rPr>
                <w:rFonts w:hint="default" w:ascii="Times New Roman" w:hAnsi="Times New Roman" w:eastAsia="宋体"/>
                <w:color w:val="auto"/>
                <w:sz w:val="21"/>
                <w:szCs w:val="24"/>
                <w:highlight w:val="none"/>
                <w:u w:val="none" w:color="auto"/>
                <w:shd w:val="clear" w:fill="auto"/>
                <w:vertAlign w:val="superscript"/>
              </w:rPr>
              <w:t>]</w:t>
            </w:r>
          </w:p>
        </w:tc>
      </w:tr>
      <w:tr w14:paraId="7CCDF62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46280DD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患</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房颤</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增加死亡风险的RR</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031BB73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170%</w:t>
            </w:r>
          </w:p>
        </w:tc>
        <w:tc>
          <w:tcPr>
            <w:tcW w:w="2700" w:type="dxa"/>
            <w:shd w:val="clear" w:color="auto" w:fill="auto"/>
            <w:noWrap/>
            <w:vAlign w:val="center"/>
          </w:tcPr>
          <w:p w14:paraId="377A59D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153.00% ~ 187.00%</w:t>
            </w:r>
          </w:p>
        </w:tc>
        <w:tc>
          <w:tcPr>
            <w:tcW w:w="1316" w:type="dxa"/>
            <w:shd w:val="clear" w:color="auto" w:fill="auto"/>
            <w:noWrap/>
            <w:vAlign w:val="center"/>
          </w:tcPr>
          <w:p w14:paraId="3B9A32E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Log-normal</w:t>
            </w:r>
          </w:p>
        </w:tc>
        <w:tc>
          <w:tcPr>
            <w:tcW w:w="1528" w:type="dxa"/>
            <w:shd w:val="clear" w:color="auto" w:fill="auto"/>
            <w:noWrap/>
            <w:vAlign w:val="center"/>
          </w:tcPr>
          <w:p w14:paraId="406CE21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25</w:t>
            </w:r>
            <w:r>
              <w:rPr>
                <w:rFonts w:hint="default" w:ascii="Times New Roman" w:hAnsi="Times New Roman" w:eastAsia="宋体"/>
                <w:color w:val="auto"/>
                <w:sz w:val="21"/>
                <w:szCs w:val="24"/>
                <w:highlight w:val="none"/>
                <w:u w:val="none" w:color="auto"/>
                <w:shd w:val="clear" w:fill="auto"/>
                <w:vertAlign w:val="superscript"/>
              </w:rPr>
              <w:t>]</w:t>
            </w:r>
          </w:p>
        </w:tc>
      </w:tr>
      <w:tr w14:paraId="0F791C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5F8A096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ICH史患者复发ICH的RR值</w:t>
            </w:r>
          </w:p>
        </w:tc>
        <w:tc>
          <w:tcPr>
            <w:tcW w:w="1080" w:type="dxa"/>
            <w:shd w:val="clear" w:color="auto" w:fill="auto"/>
            <w:noWrap/>
            <w:vAlign w:val="center"/>
          </w:tcPr>
          <w:p w14:paraId="523ABED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288%</w:t>
            </w:r>
          </w:p>
        </w:tc>
        <w:tc>
          <w:tcPr>
            <w:tcW w:w="2700" w:type="dxa"/>
            <w:shd w:val="clear" w:color="auto" w:fill="auto"/>
            <w:noWrap/>
            <w:vAlign w:val="center"/>
          </w:tcPr>
          <w:p w14:paraId="4E89FA0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259.20%～316.80%</w:t>
            </w:r>
          </w:p>
        </w:tc>
        <w:tc>
          <w:tcPr>
            <w:tcW w:w="1316" w:type="dxa"/>
            <w:shd w:val="clear" w:color="auto" w:fill="auto"/>
            <w:noWrap/>
            <w:vAlign w:val="center"/>
          </w:tcPr>
          <w:p w14:paraId="23F076C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Log-normal</w:t>
            </w:r>
          </w:p>
        </w:tc>
        <w:tc>
          <w:tcPr>
            <w:tcW w:w="1528" w:type="dxa"/>
            <w:shd w:val="clear" w:color="auto" w:fill="auto"/>
            <w:noWrap/>
            <w:vAlign w:val="center"/>
          </w:tcPr>
          <w:p w14:paraId="2270B01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olor w:val="auto"/>
                <w:sz w:val="21"/>
                <w:szCs w:val="24"/>
                <w:highlight w:val="none"/>
                <w:u w:val="none" w:color="auto"/>
                <w:shd w:val="clear" w:fill="auto"/>
                <w:vertAlign w:val="superscript"/>
              </w:rPr>
              <w:t>[1</w:t>
            </w:r>
            <w:r>
              <w:rPr>
                <w:rFonts w:hint="eastAsia" w:ascii="Times New Roman" w:hAnsi="Times New Roman" w:eastAsia="宋体"/>
                <w:color w:val="auto"/>
                <w:sz w:val="21"/>
                <w:szCs w:val="24"/>
                <w:highlight w:val="none"/>
                <w:u w:val="none" w:color="auto"/>
                <w:shd w:val="clear" w:fill="auto"/>
                <w:vertAlign w:val="superscript"/>
                <w:lang w:val="en-US" w:eastAsia="zh-CN"/>
              </w:rPr>
              <w:t>1-12</w:t>
            </w:r>
            <w:r>
              <w:rPr>
                <w:rFonts w:hint="default" w:ascii="Times New Roman" w:hAnsi="Times New Roman" w:eastAsia="宋体"/>
                <w:color w:val="auto"/>
                <w:sz w:val="21"/>
                <w:szCs w:val="24"/>
                <w:highlight w:val="none"/>
                <w:u w:val="none" w:color="auto"/>
                <w:shd w:val="clear" w:fill="auto"/>
                <w:vertAlign w:val="superscript"/>
              </w:rPr>
              <w:t>]</w:t>
            </w:r>
          </w:p>
        </w:tc>
      </w:tr>
      <w:tr w14:paraId="3BEE98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709ECF7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IS史带来IS升高的RR值</w:t>
            </w:r>
          </w:p>
        </w:tc>
        <w:tc>
          <w:tcPr>
            <w:tcW w:w="1080" w:type="dxa"/>
            <w:shd w:val="clear" w:color="auto" w:fill="auto"/>
            <w:noWrap/>
            <w:vAlign w:val="center"/>
          </w:tcPr>
          <w:p w14:paraId="2D07A37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163%</w:t>
            </w:r>
          </w:p>
        </w:tc>
        <w:tc>
          <w:tcPr>
            <w:tcW w:w="2700" w:type="dxa"/>
            <w:shd w:val="clear" w:color="auto" w:fill="auto"/>
            <w:noWrap/>
            <w:vAlign w:val="center"/>
          </w:tcPr>
          <w:p w14:paraId="69D7AC1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146.70%～179.30%</w:t>
            </w:r>
          </w:p>
        </w:tc>
        <w:tc>
          <w:tcPr>
            <w:tcW w:w="1316" w:type="dxa"/>
            <w:shd w:val="clear" w:color="auto" w:fill="auto"/>
            <w:noWrap/>
            <w:vAlign w:val="center"/>
          </w:tcPr>
          <w:p w14:paraId="4520CB6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Log-normal</w:t>
            </w:r>
          </w:p>
        </w:tc>
        <w:tc>
          <w:tcPr>
            <w:tcW w:w="1528" w:type="dxa"/>
            <w:shd w:val="clear" w:color="auto" w:fill="auto"/>
            <w:noWrap/>
            <w:vAlign w:val="center"/>
          </w:tcPr>
          <w:p w14:paraId="07325D6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13</w:t>
            </w:r>
            <w:r>
              <w:rPr>
                <w:rFonts w:hint="default" w:ascii="Times New Roman" w:hAnsi="Times New Roman" w:eastAsia="宋体"/>
                <w:color w:val="auto"/>
                <w:sz w:val="21"/>
                <w:szCs w:val="24"/>
                <w:highlight w:val="none"/>
                <w:u w:val="none" w:color="auto"/>
                <w:shd w:val="clear" w:fill="auto"/>
                <w:vertAlign w:val="superscript"/>
              </w:rPr>
              <w:t>]</w:t>
            </w:r>
          </w:p>
        </w:tc>
      </w:tr>
      <w:tr w14:paraId="0E4C13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786" w:type="dxa"/>
            <w:shd w:val="clear" w:color="auto" w:fill="auto"/>
            <w:noWrap/>
            <w:vAlign w:val="center"/>
          </w:tcPr>
          <w:p w14:paraId="319D8B9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死于IS概率</w:t>
            </w:r>
          </w:p>
        </w:tc>
        <w:tc>
          <w:tcPr>
            <w:tcW w:w="1080" w:type="dxa"/>
            <w:shd w:val="clear" w:color="auto" w:fill="auto"/>
            <w:noWrap/>
            <w:vAlign w:val="center"/>
          </w:tcPr>
          <w:p w14:paraId="19777C8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2.25%</w:t>
            </w:r>
          </w:p>
        </w:tc>
        <w:tc>
          <w:tcPr>
            <w:tcW w:w="2700" w:type="dxa"/>
            <w:shd w:val="clear" w:color="auto" w:fill="auto"/>
            <w:noWrap/>
            <w:vAlign w:val="center"/>
          </w:tcPr>
          <w:p w14:paraId="323D84E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2.03% ~ 2.48%</w:t>
            </w:r>
          </w:p>
        </w:tc>
        <w:tc>
          <w:tcPr>
            <w:tcW w:w="1316" w:type="dxa"/>
            <w:shd w:val="clear" w:color="auto" w:fill="auto"/>
            <w:noWrap/>
            <w:vAlign w:val="center"/>
          </w:tcPr>
          <w:p w14:paraId="400672C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vMerge w:val="restart"/>
            <w:shd w:val="clear" w:color="auto" w:fill="auto"/>
            <w:noWrap/>
            <w:vAlign w:val="center"/>
          </w:tcPr>
          <w:p w14:paraId="413C5C1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26-27</w:t>
            </w:r>
            <w:r>
              <w:rPr>
                <w:rFonts w:hint="default" w:ascii="Times New Roman" w:hAnsi="Times New Roman" w:eastAsia="宋体"/>
                <w:color w:val="auto"/>
                <w:sz w:val="21"/>
                <w:szCs w:val="24"/>
                <w:highlight w:val="none"/>
                <w:u w:val="none" w:color="auto"/>
                <w:shd w:val="clear" w:fill="auto"/>
                <w:vertAlign w:val="superscript"/>
              </w:rPr>
              <w:t>]</w:t>
            </w:r>
          </w:p>
        </w:tc>
      </w:tr>
      <w:tr w14:paraId="1C207F4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1C959E5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死于ICH概率</w:t>
            </w:r>
          </w:p>
        </w:tc>
        <w:tc>
          <w:tcPr>
            <w:tcW w:w="1080" w:type="dxa"/>
            <w:shd w:val="clear" w:color="auto" w:fill="auto"/>
            <w:noWrap/>
            <w:vAlign w:val="center"/>
          </w:tcPr>
          <w:p w14:paraId="24BC087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1.36%</w:t>
            </w:r>
          </w:p>
        </w:tc>
        <w:tc>
          <w:tcPr>
            <w:tcW w:w="2700" w:type="dxa"/>
            <w:shd w:val="clear" w:color="auto" w:fill="auto"/>
            <w:noWrap/>
            <w:vAlign w:val="center"/>
          </w:tcPr>
          <w:p w14:paraId="6D2112F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1.22% ~ 1.49%</w:t>
            </w:r>
          </w:p>
        </w:tc>
        <w:tc>
          <w:tcPr>
            <w:tcW w:w="1316" w:type="dxa"/>
            <w:shd w:val="clear" w:color="auto" w:fill="auto"/>
            <w:noWrap/>
            <w:vAlign w:val="center"/>
          </w:tcPr>
          <w:p w14:paraId="3E71D10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vMerge w:val="continue"/>
            <w:shd w:val="clear" w:color="auto" w:fill="auto"/>
            <w:noWrap/>
            <w:vAlign w:val="center"/>
          </w:tcPr>
          <w:p w14:paraId="7130B74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39378E6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786" w:type="dxa"/>
            <w:shd w:val="clear" w:color="auto" w:fill="auto"/>
            <w:noWrap/>
            <w:vAlign w:val="center"/>
          </w:tcPr>
          <w:p w14:paraId="6BE6987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年龄别全因死亡概率</w:t>
            </w:r>
          </w:p>
        </w:tc>
        <w:tc>
          <w:tcPr>
            <w:tcW w:w="1080" w:type="dxa"/>
            <w:shd w:val="clear" w:color="auto" w:fill="auto"/>
            <w:noWrap/>
            <w:vAlign w:val="center"/>
          </w:tcPr>
          <w:p w14:paraId="78B9940B">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rPr>
            </w:pPr>
          </w:p>
        </w:tc>
        <w:tc>
          <w:tcPr>
            <w:tcW w:w="2700" w:type="dxa"/>
            <w:shd w:val="clear" w:color="auto" w:fill="auto"/>
            <w:noWrap/>
            <w:vAlign w:val="center"/>
          </w:tcPr>
          <w:p w14:paraId="53824781">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rPr>
            </w:pPr>
          </w:p>
        </w:tc>
        <w:tc>
          <w:tcPr>
            <w:tcW w:w="1316" w:type="dxa"/>
            <w:shd w:val="clear" w:color="auto" w:fill="auto"/>
            <w:noWrap/>
            <w:vAlign w:val="center"/>
          </w:tcPr>
          <w:p w14:paraId="1FF84C01">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rPr>
            </w:pPr>
          </w:p>
        </w:tc>
        <w:tc>
          <w:tcPr>
            <w:tcW w:w="1528" w:type="dxa"/>
            <w:vMerge w:val="restart"/>
            <w:shd w:val="clear" w:color="auto" w:fill="auto"/>
            <w:noWrap/>
            <w:vAlign w:val="center"/>
          </w:tcPr>
          <w:p w14:paraId="1B4B8D3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28</w:t>
            </w:r>
            <w:r>
              <w:rPr>
                <w:rFonts w:hint="default" w:ascii="Times New Roman" w:hAnsi="Times New Roman" w:eastAsia="宋体"/>
                <w:color w:val="auto"/>
                <w:sz w:val="21"/>
                <w:szCs w:val="24"/>
                <w:highlight w:val="none"/>
                <w:u w:val="none" w:color="auto"/>
                <w:shd w:val="clear" w:fill="auto"/>
                <w:vertAlign w:val="superscript"/>
              </w:rPr>
              <w:t>]</w:t>
            </w:r>
          </w:p>
        </w:tc>
      </w:tr>
      <w:tr w14:paraId="000FA3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786" w:type="dxa"/>
            <w:shd w:val="clear" w:color="auto" w:fill="auto"/>
            <w:noWrap/>
            <w:vAlign w:val="center"/>
          </w:tcPr>
          <w:p w14:paraId="7E02A98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65~70岁</w:t>
            </w:r>
          </w:p>
        </w:tc>
        <w:tc>
          <w:tcPr>
            <w:tcW w:w="1080" w:type="dxa"/>
            <w:shd w:val="clear" w:color="auto" w:fill="auto"/>
            <w:noWrap/>
            <w:vAlign w:val="center"/>
          </w:tcPr>
          <w:p w14:paraId="70F67BC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0.34%</w:t>
            </w:r>
          </w:p>
        </w:tc>
        <w:tc>
          <w:tcPr>
            <w:tcW w:w="2700" w:type="dxa"/>
            <w:shd w:val="clear" w:color="auto" w:fill="auto"/>
            <w:noWrap/>
            <w:vAlign w:val="center"/>
          </w:tcPr>
          <w:p w14:paraId="619E584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2D59B84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0EEB872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71B1D1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786" w:type="dxa"/>
            <w:shd w:val="clear" w:color="auto" w:fill="auto"/>
            <w:noWrap/>
            <w:vAlign w:val="center"/>
          </w:tcPr>
          <w:p w14:paraId="17C71FD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71~75岁</w:t>
            </w:r>
          </w:p>
        </w:tc>
        <w:tc>
          <w:tcPr>
            <w:tcW w:w="1080" w:type="dxa"/>
            <w:shd w:val="clear" w:color="auto" w:fill="auto"/>
            <w:noWrap/>
            <w:vAlign w:val="center"/>
          </w:tcPr>
          <w:p w14:paraId="12891AC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0.55%</w:t>
            </w:r>
          </w:p>
        </w:tc>
        <w:tc>
          <w:tcPr>
            <w:tcW w:w="2700" w:type="dxa"/>
            <w:shd w:val="clear" w:color="auto" w:fill="auto"/>
            <w:noWrap/>
            <w:vAlign w:val="center"/>
          </w:tcPr>
          <w:p w14:paraId="0BEE211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7E531A1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623F62E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189B54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786" w:type="dxa"/>
            <w:shd w:val="clear" w:color="auto" w:fill="auto"/>
            <w:noWrap/>
            <w:vAlign w:val="center"/>
          </w:tcPr>
          <w:p w14:paraId="2EFBB5C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76~80岁</w:t>
            </w:r>
          </w:p>
        </w:tc>
        <w:tc>
          <w:tcPr>
            <w:tcW w:w="1080" w:type="dxa"/>
            <w:shd w:val="clear" w:color="auto" w:fill="auto"/>
            <w:noWrap/>
            <w:vAlign w:val="center"/>
          </w:tcPr>
          <w:p w14:paraId="068B2F9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0.97%</w:t>
            </w:r>
          </w:p>
        </w:tc>
        <w:tc>
          <w:tcPr>
            <w:tcW w:w="2700" w:type="dxa"/>
            <w:shd w:val="clear" w:color="auto" w:fill="auto"/>
            <w:noWrap/>
            <w:vAlign w:val="center"/>
          </w:tcPr>
          <w:p w14:paraId="4E79FE1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092CFE4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707AB12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79657E3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786" w:type="dxa"/>
            <w:shd w:val="clear" w:color="auto" w:fill="auto"/>
            <w:noWrap/>
            <w:vAlign w:val="center"/>
          </w:tcPr>
          <w:p w14:paraId="17A4C4B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81~85岁</w:t>
            </w:r>
          </w:p>
        </w:tc>
        <w:tc>
          <w:tcPr>
            <w:tcW w:w="1080" w:type="dxa"/>
            <w:shd w:val="clear" w:color="auto" w:fill="auto"/>
            <w:noWrap/>
            <w:vAlign w:val="center"/>
          </w:tcPr>
          <w:p w14:paraId="4F39816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1.75%</w:t>
            </w:r>
          </w:p>
        </w:tc>
        <w:tc>
          <w:tcPr>
            <w:tcW w:w="2700" w:type="dxa"/>
            <w:shd w:val="clear" w:color="auto" w:fill="auto"/>
            <w:noWrap/>
            <w:vAlign w:val="center"/>
          </w:tcPr>
          <w:p w14:paraId="4145B75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0F8E300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73C70BA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340C6B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786" w:type="dxa"/>
            <w:shd w:val="clear" w:color="auto" w:fill="auto"/>
            <w:noWrap/>
            <w:vAlign w:val="center"/>
          </w:tcPr>
          <w:p w14:paraId="360B322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86~90岁</w:t>
            </w:r>
          </w:p>
        </w:tc>
        <w:tc>
          <w:tcPr>
            <w:tcW w:w="1080" w:type="dxa"/>
            <w:shd w:val="clear" w:color="auto" w:fill="auto"/>
            <w:noWrap/>
            <w:vAlign w:val="center"/>
          </w:tcPr>
          <w:p w14:paraId="57BAF64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3.34%</w:t>
            </w:r>
          </w:p>
        </w:tc>
        <w:tc>
          <w:tcPr>
            <w:tcW w:w="2700" w:type="dxa"/>
            <w:shd w:val="clear" w:color="auto" w:fill="auto"/>
            <w:noWrap/>
            <w:vAlign w:val="center"/>
          </w:tcPr>
          <w:p w14:paraId="0ECB15A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2E55406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7A9BED3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1DBF519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642193D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健康状态下发生IS的死亡率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4DFC792A">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22.60%</w:t>
            </w:r>
          </w:p>
        </w:tc>
        <w:tc>
          <w:tcPr>
            <w:tcW w:w="2700" w:type="dxa"/>
            <w:shd w:val="clear" w:color="auto" w:fill="auto"/>
            <w:noWrap/>
            <w:vAlign w:val="center"/>
          </w:tcPr>
          <w:p w14:paraId="7FF857F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en-US" w:bidi="ar-SA"/>
              </w:rPr>
            </w:pPr>
          </w:p>
        </w:tc>
        <w:tc>
          <w:tcPr>
            <w:tcW w:w="1316" w:type="dxa"/>
            <w:shd w:val="clear" w:color="auto" w:fill="auto"/>
            <w:noWrap/>
            <w:vAlign w:val="center"/>
          </w:tcPr>
          <w:p w14:paraId="0292D255">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en-US"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vMerge w:val="restart"/>
            <w:shd w:val="clear" w:color="auto" w:fill="auto"/>
            <w:noWrap/>
            <w:vAlign w:val="center"/>
          </w:tcPr>
          <w:p w14:paraId="67810FD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7</w:t>
            </w:r>
            <w:r>
              <w:rPr>
                <w:rFonts w:hint="default" w:ascii="Times New Roman" w:hAnsi="Times New Roman" w:eastAsia="宋体"/>
                <w:color w:val="auto"/>
                <w:sz w:val="21"/>
                <w:szCs w:val="24"/>
                <w:highlight w:val="none"/>
                <w:u w:val="none" w:color="auto"/>
                <w:shd w:val="clear" w:fill="auto"/>
                <w:vertAlign w:val="superscript"/>
              </w:rPr>
              <w:t xml:space="preserve">, </w:t>
            </w:r>
            <w:r>
              <w:rPr>
                <w:rFonts w:hint="eastAsia" w:ascii="Times New Roman" w:hAnsi="Times New Roman" w:eastAsia="宋体"/>
                <w:color w:val="auto"/>
                <w:sz w:val="21"/>
                <w:szCs w:val="24"/>
                <w:highlight w:val="none"/>
                <w:u w:val="none" w:color="auto"/>
                <w:shd w:val="clear" w:fill="auto"/>
                <w:vertAlign w:val="superscript"/>
                <w:lang w:val="en-US" w:eastAsia="zh-CN"/>
              </w:rPr>
              <w:t>26</w:t>
            </w:r>
            <w:r>
              <w:rPr>
                <w:rFonts w:hint="default" w:ascii="Times New Roman" w:hAnsi="Times New Roman" w:eastAsia="宋体"/>
                <w:color w:val="auto"/>
                <w:sz w:val="21"/>
                <w:szCs w:val="24"/>
                <w:highlight w:val="none"/>
                <w:u w:val="none" w:color="auto"/>
                <w:shd w:val="clear" w:fill="auto"/>
                <w:vertAlign w:val="superscript"/>
              </w:rPr>
              <w:t xml:space="preserve">, </w:t>
            </w:r>
            <w:r>
              <w:rPr>
                <w:rFonts w:hint="eastAsia" w:ascii="Times New Roman" w:hAnsi="Times New Roman" w:eastAsia="宋体"/>
                <w:color w:val="auto"/>
                <w:sz w:val="21"/>
                <w:szCs w:val="24"/>
                <w:highlight w:val="none"/>
                <w:u w:val="none" w:color="auto"/>
                <w:shd w:val="clear" w:fill="auto"/>
                <w:vertAlign w:val="superscript"/>
                <w:lang w:val="en-US" w:eastAsia="zh-CN"/>
              </w:rPr>
              <w:t>29-</w:t>
            </w:r>
            <w:r>
              <w:rPr>
                <w:rFonts w:hint="default" w:ascii="Times New Roman" w:hAnsi="Times New Roman" w:eastAsia="宋体"/>
                <w:color w:val="auto"/>
                <w:sz w:val="21"/>
                <w:szCs w:val="24"/>
                <w:highlight w:val="none"/>
                <w:u w:val="none" w:color="auto"/>
                <w:shd w:val="clear" w:fill="auto"/>
                <w:vertAlign w:val="superscript"/>
              </w:rPr>
              <w:t>3</w:t>
            </w:r>
            <w:r>
              <w:rPr>
                <w:rFonts w:hint="eastAsia" w:ascii="Times New Roman" w:hAnsi="Times New Roman" w:eastAsia="宋体"/>
                <w:color w:val="auto"/>
                <w:sz w:val="21"/>
                <w:szCs w:val="24"/>
                <w:highlight w:val="none"/>
                <w:u w:val="none" w:color="auto"/>
                <w:shd w:val="clear" w:fill="auto"/>
                <w:vertAlign w:val="superscript"/>
                <w:lang w:val="en-US" w:eastAsia="zh-CN"/>
              </w:rPr>
              <w:t>0</w:t>
            </w:r>
            <w:r>
              <w:rPr>
                <w:rFonts w:hint="default" w:ascii="Times New Roman" w:hAnsi="Times New Roman" w:eastAsia="宋体"/>
                <w:color w:val="auto"/>
                <w:sz w:val="21"/>
                <w:szCs w:val="24"/>
                <w:highlight w:val="none"/>
                <w:u w:val="none" w:color="auto"/>
                <w:shd w:val="clear" w:fill="auto"/>
                <w:vertAlign w:val="superscript"/>
              </w:rPr>
              <w:t>]</w:t>
            </w:r>
          </w:p>
        </w:tc>
      </w:tr>
      <w:tr w14:paraId="450AE2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42733BB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未接受OAC的</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房颤</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发生IS的死亡率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29BB0679">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32.04%</w:t>
            </w:r>
          </w:p>
        </w:tc>
        <w:tc>
          <w:tcPr>
            <w:tcW w:w="2700" w:type="dxa"/>
            <w:shd w:val="clear" w:color="auto" w:fill="auto"/>
            <w:noWrap/>
            <w:vAlign w:val="center"/>
          </w:tcPr>
          <w:p w14:paraId="5DC23845">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p>
        </w:tc>
        <w:tc>
          <w:tcPr>
            <w:tcW w:w="1316" w:type="dxa"/>
            <w:shd w:val="clear" w:color="auto" w:fill="auto"/>
            <w:noWrap/>
            <w:vAlign w:val="center"/>
          </w:tcPr>
          <w:p w14:paraId="57804510">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vMerge w:val="continue"/>
            <w:shd w:val="clear" w:color="auto" w:fill="auto"/>
            <w:noWrap/>
            <w:vAlign w:val="center"/>
          </w:tcPr>
          <w:p w14:paraId="1B005CF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p>
        </w:tc>
      </w:tr>
      <w:tr w14:paraId="7555C72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3D65A83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接受OAC的</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房颤</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发生IS的死亡率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3C7153E9">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22.23%</w:t>
            </w:r>
          </w:p>
        </w:tc>
        <w:tc>
          <w:tcPr>
            <w:tcW w:w="2700" w:type="dxa"/>
            <w:shd w:val="clear" w:color="auto" w:fill="auto"/>
            <w:noWrap/>
            <w:vAlign w:val="center"/>
          </w:tcPr>
          <w:p w14:paraId="1EB1323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p>
        </w:tc>
        <w:tc>
          <w:tcPr>
            <w:tcW w:w="1316" w:type="dxa"/>
            <w:shd w:val="clear" w:color="auto" w:fill="auto"/>
            <w:noWrap/>
            <w:vAlign w:val="center"/>
          </w:tcPr>
          <w:p w14:paraId="6B36C11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vMerge w:val="continue"/>
            <w:shd w:val="clear" w:color="auto" w:fill="auto"/>
            <w:noWrap/>
            <w:vAlign w:val="center"/>
          </w:tcPr>
          <w:p w14:paraId="4FE22AC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p>
        </w:tc>
      </w:tr>
      <w:tr w14:paraId="7A0DF5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68BE361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发生ICH时的死亡率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7A943639">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46.20%</w:t>
            </w:r>
          </w:p>
        </w:tc>
        <w:tc>
          <w:tcPr>
            <w:tcW w:w="2700" w:type="dxa"/>
            <w:shd w:val="clear" w:color="auto" w:fill="auto"/>
            <w:noWrap/>
            <w:vAlign w:val="center"/>
          </w:tcPr>
          <w:p w14:paraId="72926776">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p>
        </w:tc>
        <w:tc>
          <w:tcPr>
            <w:tcW w:w="1316" w:type="dxa"/>
            <w:shd w:val="clear" w:color="auto" w:fill="auto"/>
            <w:noWrap/>
            <w:vAlign w:val="center"/>
          </w:tcPr>
          <w:p w14:paraId="1555E80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shd w:val="clear" w:color="auto" w:fill="auto"/>
            <w:noWrap/>
            <w:vAlign w:val="center"/>
          </w:tcPr>
          <w:p w14:paraId="4D176F6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26-27</w:t>
            </w:r>
            <w:r>
              <w:rPr>
                <w:rFonts w:hint="default" w:ascii="Times New Roman" w:hAnsi="Times New Roman" w:eastAsia="宋体"/>
                <w:color w:val="auto"/>
                <w:sz w:val="21"/>
                <w:szCs w:val="24"/>
                <w:highlight w:val="none"/>
                <w:u w:val="none" w:color="auto"/>
                <w:shd w:val="clear" w:fill="auto"/>
                <w:vertAlign w:val="superscript"/>
              </w:rPr>
              <w:t>]</w:t>
            </w:r>
          </w:p>
        </w:tc>
      </w:tr>
      <w:tr w14:paraId="221FB4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4786" w:type="dxa"/>
            <w:shd w:val="clear" w:color="auto" w:fill="auto"/>
            <w:noWrap/>
            <w:vAlign w:val="center"/>
          </w:tcPr>
          <w:p w14:paraId="336EF6B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en-US"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筛查参与率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667170A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97.00%</w:t>
            </w:r>
          </w:p>
        </w:tc>
        <w:tc>
          <w:tcPr>
            <w:tcW w:w="2700" w:type="dxa"/>
            <w:shd w:val="clear" w:color="auto" w:fill="auto"/>
            <w:noWrap/>
            <w:vAlign w:val="center"/>
          </w:tcPr>
          <w:p w14:paraId="7BA55A3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en-US"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87.30% ~ 100.00%</w:t>
            </w:r>
          </w:p>
        </w:tc>
        <w:tc>
          <w:tcPr>
            <w:tcW w:w="1316" w:type="dxa"/>
            <w:shd w:val="clear" w:color="auto" w:fill="auto"/>
            <w:noWrap/>
            <w:vAlign w:val="center"/>
          </w:tcPr>
          <w:p w14:paraId="0BA2FB7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en-US"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shd w:val="clear" w:color="auto" w:fill="auto"/>
            <w:noWrap/>
            <w:vAlign w:val="center"/>
          </w:tcPr>
          <w:p w14:paraId="4FC9777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en-US" w:bidi="ar-SA"/>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14</w:t>
            </w:r>
            <w:r>
              <w:rPr>
                <w:rFonts w:hint="default" w:ascii="Times New Roman" w:hAnsi="Times New Roman" w:eastAsia="宋体"/>
                <w:color w:val="auto"/>
                <w:sz w:val="21"/>
                <w:szCs w:val="24"/>
                <w:highlight w:val="none"/>
                <w:u w:val="none" w:color="auto"/>
                <w:shd w:val="clear" w:fill="auto"/>
                <w:vertAlign w:val="superscript"/>
              </w:rPr>
              <w:t>]</w:t>
            </w:r>
          </w:p>
        </w:tc>
      </w:tr>
      <w:tr w14:paraId="5D7369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06236B8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en-US"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房颤检测棒灵敏度</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3EC95C5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76.90%</w:t>
            </w:r>
          </w:p>
        </w:tc>
        <w:tc>
          <w:tcPr>
            <w:tcW w:w="2700" w:type="dxa"/>
            <w:shd w:val="clear" w:color="auto" w:fill="auto"/>
            <w:noWrap/>
            <w:vAlign w:val="center"/>
          </w:tcPr>
          <w:p w14:paraId="3DAC4C1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en-US"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69.21% ~ 84.59%</w:t>
            </w:r>
          </w:p>
        </w:tc>
        <w:tc>
          <w:tcPr>
            <w:tcW w:w="1316" w:type="dxa"/>
            <w:shd w:val="clear" w:color="auto" w:fill="auto"/>
            <w:noWrap/>
            <w:vAlign w:val="center"/>
          </w:tcPr>
          <w:p w14:paraId="39931EA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en-US"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vMerge w:val="restart"/>
            <w:shd w:val="clear" w:color="auto" w:fill="auto"/>
            <w:noWrap/>
            <w:vAlign w:val="center"/>
          </w:tcPr>
          <w:p w14:paraId="761643A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15</w:t>
            </w:r>
            <w:r>
              <w:rPr>
                <w:rFonts w:hint="default" w:ascii="Times New Roman" w:hAnsi="Times New Roman" w:eastAsia="宋体"/>
                <w:color w:val="auto"/>
                <w:sz w:val="21"/>
                <w:szCs w:val="24"/>
                <w:highlight w:val="none"/>
                <w:u w:val="none" w:color="auto"/>
                <w:shd w:val="clear" w:fill="auto"/>
                <w:vertAlign w:val="superscript"/>
              </w:rPr>
              <w:t>]</w:t>
            </w:r>
          </w:p>
        </w:tc>
      </w:tr>
      <w:tr w14:paraId="614567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1CFCCA1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房颤检测棒特异度</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318ED27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97.10%</w:t>
            </w:r>
          </w:p>
        </w:tc>
        <w:tc>
          <w:tcPr>
            <w:tcW w:w="2700" w:type="dxa"/>
            <w:shd w:val="clear" w:color="auto" w:fill="auto"/>
            <w:noWrap/>
            <w:vAlign w:val="center"/>
          </w:tcPr>
          <w:p w14:paraId="35FEB0D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87.39% ~100.00%</w:t>
            </w:r>
          </w:p>
        </w:tc>
        <w:tc>
          <w:tcPr>
            <w:tcW w:w="1316" w:type="dxa"/>
            <w:shd w:val="clear" w:color="auto" w:fill="auto"/>
            <w:noWrap/>
            <w:vAlign w:val="center"/>
          </w:tcPr>
          <w:p w14:paraId="28DCB93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vMerge w:val="continue"/>
            <w:shd w:val="clear" w:color="auto" w:fill="auto"/>
            <w:noWrap/>
            <w:vAlign w:val="center"/>
          </w:tcPr>
          <w:p w14:paraId="66DBB96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p>
        </w:tc>
      </w:tr>
      <w:tr w14:paraId="5A5E19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08EB782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已诊断</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房颤</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患者抗凝治疗依从率</w:t>
            </w:r>
            <w:r>
              <w:rPr>
                <w:rFonts w:hint="eastAsia" w:eastAsia="宋体" w:cs="Times New Roman"/>
                <w:i w:val="0"/>
                <w:iCs w:val="0"/>
                <w:color w:val="auto"/>
                <w:kern w:val="0"/>
                <w:sz w:val="21"/>
                <w:szCs w:val="21"/>
                <w:highlight w:val="none"/>
                <w:u w:val="none" w:color="auto"/>
                <w:shd w:val="clear" w:fill="auto"/>
                <w:lang w:val="en-US" w:eastAsia="zh-CN" w:bidi="ar"/>
              </w:rPr>
              <w:t xml:space="preserve"> /%</w:t>
            </w:r>
          </w:p>
        </w:tc>
        <w:tc>
          <w:tcPr>
            <w:tcW w:w="1080" w:type="dxa"/>
            <w:shd w:val="clear" w:color="auto" w:fill="auto"/>
            <w:noWrap/>
            <w:vAlign w:val="center"/>
          </w:tcPr>
          <w:p w14:paraId="76611B5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80.00%</w:t>
            </w:r>
          </w:p>
        </w:tc>
        <w:tc>
          <w:tcPr>
            <w:tcW w:w="2700" w:type="dxa"/>
            <w:shd w:val="clear" w:color="auto" w:fill="auto"/>
            <w:noWrap/>
            <w:vAlign w:val="center"/>
          </w:tcPr>
          <w:p w14:paraId="30197A6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72.00% ~ 88.00%</w:t>
            </w:r>
          </w:p>
        </w:tc>
        <w:tc>
          <w:tcPr>
            <w:tcW w:w="1316" w:type="dxa"/>
            <w:shd w:val="clear" w:color="auto" w:fill="auto"/>
            <w:noWrap/>
            <w:vAlign w:val="center"/>
          </w:tcPr>
          <w:p w14:paraId="6E0EF38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shd w:val="clear" w:color="auto" w:fill="auto"/>
            <w:noWrap/>
            <w:vAlign w:val="center"/>
          </w:tcPr>
          <w:p w14:paraId="38DE140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bidi="ar-SA"/>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8</w:t>
            </w:r>
            <w:r>
              <w:rPr>
                <w:rFonts w:hint="default" w:ascii="Times New Roman" w:hAnsi="Times New Roman" w:eastAsia="宋体"/>
                <w:color w:val="auto"/>
                <w:sz w:val="21"/>
                <w:szCs w:val="24"/>
                <w:highlight w:val="none"/>
                <w:u w:val="none" w:color="auto"/>
                <w:shd w:val="clear" w:fill="auto"/>
                <w:vertAlign w:val="superscript"/>
              </w:rPr>
              <w:t>]</w:t>
            </w:r>
          </w:p>
        </w:tc>
      </w:tr>
      <w:tr w14:paraId="1614F33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4BEC50E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贴现率</w:t>
            </w:r>
          </w:p>
        </w:tc>
        <w:tc>
          <w:tcPr>
            <w:tcW w:w="1080" w:type="dxa"/>
            <w:shd w:val="clear" w:color="auto" w:fill="auto"/>
            <w:noWrap/>
            <w:vAlign w:val="center"/>
          </w:tcPr>
          <w:p w14:paraId="7E2D20C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5%</w:t>
            </w:r>
          </w:p>
        </w:tc>
        <w:tc>
          <w:tcPr>
            <w:tcW w:w="2700" w:type="dxa"/>
            <w:shd w:val="clear" w:color="auto" w:fill="auto"/>
            <w:noWrap/>
            <w:vAlign w:val="center"/>
          </w:tcPr>
          <w:p w14:paraId="531F7A3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0～8%</w:t>
            </w:r>
          </w:p>
        </w:tc>
        <w:tc>
          <w:tcPr>
            <w:tcW w:w="1316" w:type="dxa"/>
            <w:shd w:val="clear" w:color="auto" w:fill="auto"/>
            <w:noWrap/>
            <w:vAlign w:val="center"/>
          </w:tcPr>
          <w:p w14:paraId="1BAF88D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shd w:val="clear" w:color="auto" w:fill="auto"/>
            <w:noWrap/>
            <w:vAlign w:val="center"/>
          </w:tcPr>
          <w:p w14:paraId="7686B45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31</w:t>
            </w:r>
            <w:r>
              <w:rPr>
                <w:rFonts w:hint="default" w:ascii="Times New Roman" w:hAnsi="Times New Roman" w:eastAsia="宋体"/>
                <w:color w:val="auto"/>
                <w:sz w:val="21"/>
                <w:szCs w:val="24"/>
                <w:highlight w:val="none"/>
                <w:u w:val="none" w:color="auto"/>
                <w:shd w:val="clear" w:fill="auto"/>
                <w:vertAlign w:val="superscript"/>
              </w:rPr>
              <w:t>]</w:t>
            </w:r>
          </w:p>
        </w:tc>
      </w:tr>
      <w:tr w14:paraId="71F611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24847CC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成本参数</w:t>
            </w:r>
          </w:p>
        </w:tc>
        <w:tc>
          <w:tcPr>
            <w:tcW w:w="1080" w:type="dxa"/>
            <w:shd w:val="clear" w:color="auto" w:fill="auto"/>
            <w:noWrap/>
            <w:vAlign w:val="center"/>
          </w:tcPr>
          <w:p w14:paraId="0BA81621">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2700" w:type="dxa"/>
            <w:shd w:val="clear" w:color="auto" w:fill="auto"/>
            <w:noWrap/>
            <w:vAlign w:val="center"/>
          </w:tcPr>
          <w:p w14:paraId="407A43B9">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316" w:type="dxa"/>
            <w:shd w:val="clear" w:color="auto" w:fill="auto"/>
            <w:noWrap/>
            <w:vAlign w:val="center"/>
          </w:tcPr>
          <w:p w14:paraId="5A5213D2">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528" w:type="dxa"/>
            <w:shd w:val="clear" w:color="auto" w:fill="auto"/>
            <w:noWrap/>
            <w:vAlign w:val="center"/>
          </w:tcPr>
          <w:p w14:paraId="08E648D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25CB14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5EA90F8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筛查项目管理费（每人次）</w:t>
            </w:r>
          </w:p>
        </w:tc>
        <w:tc>
          <w:tcPr>
            <w:tcW w:w="1080" w:type="dxa"/>
            <w:shd w:val="clear" w:color="auto" w:fill="auto"/>
            <w:noWrap/>
            <w:vAlign w:val="center"/>
          </w:tcPr>
          <w:p w14:paraId="1C76713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20</w:t>
            </w:r>
          </w:p>
        </w:tc>
        <w:tc>
          <w:tcPr>
            <w:tcW w:w="2700" w:type="dxa"/>
            <w:shd w:val="clear" w:color="auto" w:fill="auto"/>
            <w:noWrap/>
            <w:vAlign w:val="center"/>
          </w:tcPr>
          <w:p w14:paraId="34962BC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18.00 ~ 22.00</w:t>
            </w:r>
          </w:p>
        </w:tc>
        <w:tc>
          <w:tcPr>
            <w:tcW w:w="1316" w:type="dxa"/>
            <w:shd w:val="clear" w:color="auto" w:fill="auto"/>
            <w:noWrap/>
            <w:vAlign w:val="center"/>
          </w:tcPr>
          <w:p w14:paraId="4E87404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Gamma</w:t>
            </w:r>
          </w:p>
        </w:tc>
        <w:tc>
          <w:tcPr>
            <w:tcW w:w="1528" w:type="dxa"/>
            <w:shd w:val="clear" w:color="auto" w:fill="auto"/>
            <w:noWrap/>
            <w:vAlign w:val="center"/>
          </w:tcPr>
          <w:p w14:paraId="22F553F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color w:val="auto"/>
                <w:sz w:val="21"/>
                <w:szCs w:val="21"/>
                <w:highlight w:val="none"/>
                <w:u w:val="none" w:color="auto"/>
                <w:shd w:val="clear" w:fill="auto"/>
              </w:rPr>
              <w:t>城市医疗集团</w:t>
            </w:r>
            <w:r>
              <w:rPr>
                <w:rFonts w:hint="default" w:ascii="Times New Roman" w:hAnsi="Times New Roman" w:eastAsia="宋体" w:cs="Times New Roman"/>
                <w:color w:val="auto"/>
                <w:sz w:val="21"/>
                <w:szCs w:val="21"/>
                <w:highlight w:val="none"/>
                <w:u w:val="none" w:color="auto"/>
                <w:shd w:val="clear" w:fill="auto"/>
                <w:lang w:val="en-US" w:eastAsia="zh-CN"/>
              </w:rPr>
              <w:t>房颤筛查</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项目</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成本测算</w:t>
            </w:r>
          </w:p>
        </w:tc>
      </w:tr>
      <w:tr w14:paraId="69854C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63C76D7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房颤检测棒设备成本（每人次）</w:t>
            </w:r>
          </w:p>
        </w:tc>
        <w:tc>
          <w:tcPr>
            <w:tcW w:w="1080" w:type="dxa"/>
            <w:shd w:val="clear" w:color="auto" w:fill="auto"/>
            <w:noWrap/>
            <w:vAlign w:val="center"/>
          </w:tcPr>
          <w:p w14:paraId="16487A4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4</w:t>
            </w:r>
          </w:p>
        </w:tc>
        <w:tc>
          <w:tcPr>
            <w:tcW w:w="2700" w:type="dxa"/>
            <w:shd w:val="clear" w:color="auto" w:fill="auto"/>
            <w:noWrap/>
            <w:vAlign w:val="center"/>
          </w:tcPr>
          <w:p w14:paraId="082A11A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3.60 ~ 4.40</w:t>
            </w:r>
          </w:p>
        </w:tc>
        <w:tc>
          <w:tcPr>
            <w:tcW w:w="1316" w:type="dxa"/>
            <w:shd w:val="clear" w:color="auto" w:fill="auto"/>
            <w:noWrap/>
            <w:vAlign w:val="center"/>
          </w:tcPr>
          <w:p w14:paraId="79F67FD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Gamma</w:t>
            </w:r>
          </w:p>
        </w:tc>
        <w:tc>
          <w:tcPr>
            <w:tcW w:w="1528" w:type="dxa"/>
            <w:shd w:val="clear" w:color="auto" w:fill="auto"/>
            <w:noWrap/>
            <w:vAlign w:val="center"/>
          </w:tcPr>
          <w:p w14:paraId="7A24C54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color w:val="auto"/>
                <w:sz w:val="21"/>
                <w:szCs w:val="21"/>
                <w:highlight w:val="none"/>
                <w:u w:val="none" w:color="auto"/>
                <w:shd w:val="clear" w:fill="auto"/>
              </w:rPr>
              <w:t>城市医疗集团</w:t>
            </w:r>
            <w:r>
              <w:rPr>
                <w:rFonts w:hint="default" w:ascii="Times New Roman" w:hAnsi="Times New Roman" w:eastAsia="宋体" w:cs="Times New Roman"/>
                <w:color w:val="auto"/>
                <w:sz w:val="21"/>
                <w:szCs w:val="21"/>
                <w:highlight w:val="none"/>
                <w:u w:val="none" w:color="auto"/>
                <w:shd w:val="clear" w:fill="auto"/>
                <w:lang w:val="en-US" w:eastAsia="zh-CN"/>
              </w:rPr>
              <w:t>房颤筛查</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项目</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成本测算</w:t>
            </w:r>
          </w:p>
        </w:tc>
      </w:tr>
      <w:tr w14:paraId="68D09E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14CF4D8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12导联心电图检查费用（每人次）</w:t>
            </w:r>
          </w:p>
        </w:tc>
        <w:tc>
          <w:tcPr>
            <w:tcW w:w="1080" w:type="dxa"/>
            <w:shd w:val="clear" w:color="auto" w:fill="auto"/>
            <w:noWrap/>
            <w:vAlign w:val="center"/>
          </w:tcPr>
          <w:p w14:paraId="7915475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eastAsia" w:ascii="Times New Roman" w:hAnsi="Times New Roman" w:eastAsia="宋体" w:cs="Times New Roman"/>
                <w:i w:val="0"/>
                <w:iCs w:val="0"/>
                <w:color w:val="auto"/>
                <w:sz w:val="21"/>
                <w:szCs w:val="21"/>
                <w:highlight w:val="none"/>
                <w:u w:val="none" w:color="auto"/>
                <w:shd w:val="clear" w:fill="auto"/>
                <w:lang w:val="en-US" w:eastAsia="zh-CN"/>
              </w:rPr>
              <w:t>27.08</w:t>
            </w:r>
          </w:p>
        </w:tc>
        <w:tc>
          <w:tcPr>
            <w:tcW w:w="2700" w:type="dxa"/>
            <w:shd w:val="clear" w:color="auto" w:fill="auto"/>
            <w:noWrap/>
            <w:vAlign w:val="center"/>
          </w:tcPr>
          <w:p w14:paraId="2437A16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24</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37</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 </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29</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79</w:t>
            </w:r>
          </w:p>
        </w:tc>
        <w:tc>
          <w:tcPr>
            <w:tcW w:w="1316" w:type="dxa"/>
            <w:shd w:val="clear" w:color="auto" w:fill="auto"/>
            <w:noWrap/>
            <w:vAlign w:val="center"/>
          </w:tcPr>
          <w:p w14:paraId="1282412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Gamma</w:t>
            </w:r>
          </w:p>
        </w:tc>
        <w:tc>
          <w:tcPr>
            <w:tcW w:w="1528" w:type="dxa"/>
            <w:shd w:val="clear" w:color="auto" w:fill="auto"/>
            <w:noWrap/>
            <w:vAlign w:val="center"/>
          </w:tcPr>
          <w:p w14:paraId="37D8786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sz w:val="21"/>
                <w:szCs w:val="21"/>
                <w:highlight w:val="none"/>
                <w:u w:val="none" w:color="auto"/>
                <w:shd w:val="clear" w:fill="auto"/>
                <w:lang w:val="en-US" w:eastAsia="zh-CN"/>
              </w:rPr>
              <w:t>广州地区公立医疗机构基本医疗服务价格</w:t>
            </w:r>
          </w:p>
        </w:tc>
      </w:tr>
      <w:tr w14:paraId="1E4906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72B8819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利伐沙班每3个月的治疗费用</w:t>
            </w:r>
          </w:p>
        </w:tc>
        <w:tc>
          <w:tcPr>
            <w:tcW w:w="1080" w:type="dxa"/>
            <w:shd w:val="clear" w:color="auto" w:fill="auto"/>
            <w:noWrap/>
            <w:vAlign w:val="center"/>
          </w:tcPr>
          <w:p w14:paraId="756198E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78.53</w:t>
            </w:r>
          </w:p>
        </w:tc>
        <w:tc>
          <w:tcPr>
            <w:tcW w:w="2700" w:type="dxa"/>
            <w:shd w:val="clear" w:color="auto" w:fill="auto"/>
            <w:noWrap/>
            <w:vAlign w:val="center"/>
          </w:tcPr>
          <w:p w14:paraId="24D35B8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70.68 ~ 86.38</w:t>
            </w:r>
          </w:p>
        </w:tc>
        <w:tc>
          <w:tcPr>
            <w:tcW w:w="1316" w:type="dxa"/>
            <w:shd w:val="clear" w:color="auto" w:fill="auto"/>
            <w:noWrap/>
            <w:vAlign w:val="center"/>
          </w:tcPr>
          <w:p w14:paraId="4C7DCEC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Gamma</w:t>
            </w:r>
          </w:p>
        </w:tc>
        <w:tc>
          <w:tcPr>
            <w:tcW w:w="1528" w:type="dxa"/>
            <w:shd w:val="clear" w:color="auto" w:fill="auto"/>
            <w:noWrap/>
            <w:vAlign w:val="center"/>
          </w:tcPr>
          <w:p w14:paraId="58401DE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eastAsia" w:ascii="Times New Roman" w:hAnsi="Times New Roman" w:eastAsia="宋体" w:cs="Times New Roman"/>
                <w:i w:val="0"/>
                <w:iCs w:val="0"/>
                <w:color w:val="auto"/>
                <w:sz w:val="21"/>
                <w:szCs w:val="21"/>
                <w:highlight w:val="none"/>
                <w:u w:val="none" w:color="auto"/>
                <w:shd w:val="clear" w:fill="auto"/>
                <w:lang w:val="en-US" w:eastAsia="zh-CN"/>
              </w:rPr>
              <w:t>广州市第一人民医院集采药物价格</w:t>
            </w:r>
          </w:p>
        </w:tc>
      </w:tr>
      <w:tr w14:paraId="071630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70EDF9C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房颤随访门诊费用（每3个月）</w:t>
            </w:r>
          </w:p>
        </w:tc>
        <w:tc>
          <w:tcPr>
            <w:tcW w:w="1080" w:type="dxa"/>
            <w:shd w:val="clear" w:color="auto" w:fill="auto"/>
            <w:noWrap/>
            <w:vAlign w:val="center"/>
          </w:tcPr>
          <w:p w14:paraId="543BF76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32.14</w:t>
            </w:r>
          </w:p>
        </w:tc>
        <w:tc>
          <w:tcPr>
            <w:tcW w:w="2700" w:type="dxa"/>
            <w:shd w:val="clear" w:color="auto" w:fill="auto"/>
            <w:noWrap/>
            <w:vAlign w:val="center"/>
          </w:tcPr>
          <w:p w14:paraId="1C74D4A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28.93 ~ 35.35</w:t>
            </w:r>
          </w:p>
        </w:tc>
        <w:tc>
          <w:tcPr>
            <w:tcW w:w="1316" w:type="dxa"/>
            <w:shd w:val="clear" w:color="auto" w:fill="auto"/>
            <w:noWrap/>
            <w:vAlign w:val="center"/>
          </w:tcPr>
          <w:p w14:paraId="5D229C4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Gamma</w:t>
            </w:r>
          </w:p>
        </w:tc>
        <w:tc>
          <w:tcPr>
            <w:tcW w:w="1528" w:type="dxa"/>
            <w:shd w:val="clear" w:color="auto" w:fill="auto"/>
            <w:noWrap/>
            <w:vAlign w:val="center"/>
          </w:tcPr>
          <w:p w14:paraId="4120D9F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eastAsia" w:ascii="Times New Roman" w:hAnsi="Times New Roman" w:eastAsia="宋体" w:cs="Times New Roman"/>
                <w:i w:val="0"/>
                <w:iCs w:val="0"/>
                <w:color w:val="auto"/>
                <w:sz w:val="21"/>
                <w:szCs w:val="21"/>
                <w:highlight w:val="none"/>
                <w:u w:val="none" w:color="auto"/>
                <w:shd w:val="clear" w:fill="auto"/>
                <w:lang w:val="en-US" w:eastAsia="zh-CN"/>
              </w:rPr>
              <w:t>广州市社区卫生服务中心门诊诊查费标准</w:t>
            </w:r>
          </w:p>
        </w:tc>
      </w:tr>
      <w:tr w14:paraId="0331C13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4786" w:type="dxa"/>
            <w:shd w:val="clear" w:color="auto" w:fill="auto"/>
            <w:noWrap/>
            <w:vAlign w:val="center"/>
          </w:tcPr>
          <w:p w14:paraId="384CD0C7">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IS急性期治疗费</w:t>
            </w:r>
          </w:p>
        </w:tc>
        <w:tc>
          <w:tcPr>
            <w:tcW w:w="1080" w:type="dxa"/>
            <w:shd w:val="clear" w:color="auto" w:fill="auto"/>
            <w:noWrap/>
            <w:vAlign w:val="center"/>
          </w:tcPr>
          <w:p w14:paraId="40134AE4">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917.3</w:t>
            </w:r>
          </w:p>
        </w:tc>
        <w:tc>
          <w:tcPr>
            <w:tcW w:w="2700" w:type="dxa"/>
            <w:shd w:val="clear" w:color="auto" w:fill="auto"/>
            <w:noWrap/>
            <w:vAlign w:val="center"/>
          </w:tcPr>
          <w:p w14:paraId="19E2E55D">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777.57  ~ 103</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617.03</w:t>
            </w:r>
          </w:p>
        </w:tc>
        <w:tc>
          <w:tcPr>
            <w:tcW w:w="1316" w:type="dxa"/>
            <w:shd w:val="clear" w:color="auto" w:fill="auto"/>
            <w:noWrap/>
            <w:vAlign w:val="center"/>
          </w:tcPr>
          <w:p w14:paraId="168E9768">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Gamma</w:t>
            </w:r>
          </w:p>
        </w:tc>
        <w:tc>
          <w:tcPr>
            <w:tcW w:w="1528" w:type="dxa"/>
            <w:shd w:val="clear" w:color="auto" w:fill="auto"/>
            <w:noWrap/>
            <w:vAlign w:val="center"/>
          </w:tcPr>
          <w:p w14:paraId="610B8F3C">
            <w:pPr>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eastAsia="zh-CN"/>
              </w:rPr>
            </w:pPr>
            <w:r>
              <w:rPr>
                <w:rFonts w:hint="eastAsia" w:ascii="Times New Roman" w:hAnsi="Times New Roman" w:eastAsia="宋体" w:cs="Times New Roman"/>
                <w:i w:val="0"/>
                <w:iCs w:val="0"/>
                <w:color w:val="auto"/>
                <w:sz w:val="21"/>
                <w:szCs w:val="21"/>
                <w:highlight w:val="none"/>
                <w:u w:val="none" w:color="auto"/>
                <w:shd w:val="clear" w:fill="auto"/>
                <w:lang w:val="en-US" w:eastAsia="zh-CN"/>
              </w:rPr>
              <w:t>广州市第一人民医院2023—2025年有关患者治疗费用</w:t>
            </w:r>
          </w:p>
        </w:tc>
      </w:tr>
      <w:tr w14:paraId="745D15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4786" w:type="dxa"/>
            <w:shd w:val="clear" w:color="auto" w:fill="auto"/>
            <w:noWrap/>
            <w:vAlign w:val="center"/>
          </w:tcPr>
          <w:p w14:paraId="14329AB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ICH急性期治疗费</w:t>
            </w:r>
          </w:p>
        </w:tc>
        <w:tc>
          <w:tcPr>
            <w:tcW w:w="1080" w:type="dxa"/>
            <w:shd w:val="clear" w:color="auto" w:fill="auto"/>
            <w:noWrap/>
            <w:vAlign w:val="center"/>
          </w:tcPr>
          <w:p w14:paraId="35BDB30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81</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992.0</w:t>
            </w:r>
          </w:p>
        </w:tc>
        <w:tc>
          <w:tcPr>
            <w:tcW w:w="2700" w:type="dxa"/>
            <w:shd w:val="clear" w:color="auto" w:fill="auto"/>
            <w:noWrap/>
            <w:vAlign w:val="center"/>
          </w:tcPr>
          <w:p w14:paraId="0C142AE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73</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792.80  ~ 90</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191.20</w:t>
            </w:r>
          </w:p>
        </w:tc>
        <w:tc>
          <w:tcPr>
            <w:tcW w:w="1316" w:type="dxa"/>
            <w:shd w:val="clear" w:color="auto" w:fill="auto"/>
            <w:noWrap/>
            <w:vAlign w:val="center"/>
          </w:tcPr>
          <w:p w14:paraId="1F26E90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Gamma</w:t>
            </w:r>
          </w:p>
        </w:tc>
        <w:tc>
          <w:tcPr>
            <w:tcW w:w="1528" w:type="dxa"/>
            <w:shd w:val="clear" w:color="auto" w:fill="auto"/>
            <w:noWrap/>
            <w:vAlign w:val="center"/>
          </w:tcPr>
          <w:p w14:paraId="3CE39D4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eastAsia" w:ascii="Times New Roman" w:hAnsi="Times New Roman" w:eastAsia="宋体" w:cs="Times New Roman"/>
                <w:i w:val="0"/>
                <w:iCs w:val="0"/>
                <w:color w:val="auto"/>
                <w:sz w:val="21"/>
                <w:szCs w:val="21"/>
                <w:highlight w:val="none"/>
                <w:u w:val="none" w:color="auto"/>
                <w:shd w:val="clear" w:fill="auto"/>
                <w:lang w:val="en-US" w:eastAsia="zh-CN"/>
              </w:rPr>
              <w:t>广州市第一人民医院2023—2025年有关患者治疗费用</w:t>
            </w:r>
          </w:p>
        </w:tc>
      </w:tr>
      <w:tr w14:paraId="6283E0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28D6599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IS慢性期治疗费</w:t>
            </w:r>
          </w:p>
        </w:tc>
        <w:tc>
          <w:tcPr>
            <w:tcW w:w="1080" w:type="dxa"/>
            <w:shd w:val="clear" w:color="auto" w:fill="auto"/>
            <w:noWrap/>
            <w:vAlign w:val="center"/>
          </w:tcPr>
          <w:p w14:paraId="27C26D1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21</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623.3</w:t>
            </w:r>
          </w:p>
        </w:tc>
        <w:tc>
          <w:tcPr>
            <w:tcW w:w="2700" w:type="dxa"/>
            <w:shd w:val="clear" w:color="auto" w:fill="auto"/>
            <w:noWrap/>
            <w:vAlign w:val="center"/>
          </w:tcPr>
          <w:p w14:paraId="0478297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19</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460.97  ~ 23</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785.63</w:t>
            </w:r>
          </w:p>
        </w:tc>
        <w:tc>
          <w:tcPr>
            <w:tcW w:w="1316" w:type="dxa"/>
            <w:shd w:val="clear" w:color="auto" w:fill="auto"/>
            <w:noWrap/>
            <w:vAlign w:val="center"/>
          </w:tcPr>
          <w:p w14:paraId="1F48A36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Gamma</w:t>
            </w:r>
          </w:p>
        </w:tc>
        <w:tc>
          <w:tcPr>
            <w:tcW w:w="1528" w:type="dxa"/>
            <w:shd w:val="clear" w:color="auto" w:fill="auto"/>
            <w:noWrap/>
            <w:vAlign w:val="center"/>
          </w:tcPr>
          <w:p w14:paraId="70B4C81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eastAsia" w:ascii="Times New Roman" w:hAnsi="Times New Roman" w:eastAsia="宋体" w:cs="Times New Roman"/>
                <w:i w:val="0"/>
                <w:iCs w:val="0"/>
                <w:color w:val="auto"/>
                <w:sz w:val="21"/>
                <w:szCs w:val="21"/>
                <w:highlight w:val="none"/>
                <w:u w:val="none" w:color="auto"/>
                <w:shd w:val="clear" w:fill="auto"/>
                <w:lang w:val="en-US" w:eastAsia="zh-CN"/>
              </w:rPr>
              <w:t>广州市第一人民医院2023—2025年有关患者治疗费用</w:t>
            </w:r>
          </w:p>
        </w:tc>
      </w:tr>
      <w:tr w14:paraId="2A9F744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1C95AB1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ICH慢性期治疗费</w:t>
            </w:r>
          </w:p>
        </w:tc>
        <w:tc>
          <w:tcPr>
            <w:tcW w:w="1080" w:type="dxa"/>
            <w:shd w:val="clear" w:color="auto" w:fill="auto"/>
            <w:noWrap/>
            <w:vAlign w:val="center"/>
          </w:tcPr>
          <w:p w14:paraId="4936195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30</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551.0</w:t>
            </w:r>
          </w:p>
        </w:tc>
        <w:tc>
          <w:tcPr>
            <w:tcW w:w="2700" w:type="dxa"/>
            <w:shd w:val="clear" w:color="auto" w:fill="auto"/>
            <w:noWrap/>
            <w:vAlign w:val="center"/>
          </w:tcPr>
          <w:p w14:paraId="5C6516F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27</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495.90  ~ 33</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606.10</w:t>
            </w:r>
          </w:p>
        </w:tc>
        <w:tc>
          <w:tcPr>
            <w:tcW w:w="1316" w:type="dxa"/>
            <w:shd w:val="clear" w:color="auto" w:fill="auto"/>
            <w:noWrap/>
            <w:vAlign w:val="center"/>
          </w:tcPr>
          <w:p w14:paraId="64189B6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Gamma</w:t>
            </w:r>
          </w:p>
        </w:tc>
        <w:tc>
          <w:tcPr>
            <w:tcW w:w="1528" w:type="dxa"/>
            <w:shd w:val="clear" w:color="auto" w:fill="auto"/>
            <w:noWrap/>
            <w:vAlign w:val="center"/>
          </w:tcPr>
          <w:p w14:paraId="552FF9F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eastAsia" w:ascii="Times New Roman" w:hAnsi="Times New Roman" w:eastAsia="宋体" w:cs="Times New Roman"/>
                <w:i w:val="0"/>
                <w:iCs w:val="0"/>
                <w:color w:val="auto"/>
                <w:sz w:val="21"/>
                <w:szCs w:val="21"/>
                <w:highlight w:val="none"/>
                <w:u w:val="none" w:color="auto"/>
                <w:shd w:val="clear" w:fill="auto"/>
                <w:lang w:val="en-US" w:eastAsia="zh-CN"/>
              </w:rPr>
              <w:t>广州市第一人民医院2023—2025年有关患者治疗费用</w:t>
            </w:r>
          </w:p>
        </w:tc>
      </w:tr>
      <w:tr w14:paraId="1D592F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4AAB611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效用参数</w:t>
            </w:r>
          </w:p>
        </w:tc>
        <w:tc>
          <w:tcPr>
            <w:tcW w:w="1080" w:type="dxa"/>
            <w:shd w:val="clear" w:color="auto" w:fill="auto"/>
            <w:noWrap/>
            <w:vAlign w:val="center"/>
          </w:tcPr>
          <w:p w14:paraId="0049066B">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2700" w:type="dxa"/>
            <w:shd w:val="clear" w:color="auto" w:fill="auto"/>
            <w:noWrap/>
            <w:vAlign w:val="center"/>
          </w:tcPr>
          <w:p w14:paraId="2E0E6928">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316" w:type="dxa"/>
            <w:shd w:val="clear" w:color="auto" w:fill="auto"/>
            <w:noWrap/>
            <w:vAlign w:val="center"/>
          </w:tcPr>
          <w:p w14:paraId="43CC4C89">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c>
          <w:tcPr>
            <w:tcW w:w="1528" w:type="dxa"/>
            <w:shd w:val="clear" w:color="auto" w:fill="auto"/>
            <w:noWrap/>
            <w:vAlign w:val="center"/>
          </w:tcPr>
          <w:p w14:paraId="33A2CD4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p>
        </w:tc>
      </w:tr>
      <w:tr w14:paraId="69F94C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2F693EA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年龄别健康（无疾病）效用权重</w:t>
            </w:r>
          </w:p>
        </w:tc>
        <w:tc>
          <w:tcPr>
            <w:tcW w:w="1080" w:type="dxa"/>
            <w:shd w:val="clear" w:color="auto" w:fill="auto"/>
            <w:noWrap/>
            <w:vAlign w:val="center"/>
          </w:tcPr>
          <w:p w14:paraId="0A339B4A">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lang w:val="en-US" w:eastAsia="zh-CN"/>
              </w:rPr>
            </w:pPr>
          </w:p>
        </w:tc>
        <w:tc>
          <w:tcPr>
            <w:tcW w:w="2700" w:type="dxa"/>
            <w:shd w:val="clear" w:color="auto" w:fill="auto"/>
            <w:noWrap/>
            <w:vAlign w:val="center"/>
          </w:tcPr>
          <w:p w14:paraId="5E30D31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rPr>
            </w:pPr>
          </w:p>
        </w:tc>
        <w:tc>
          <w:tcPr>
            <w:tcW w:w="1316" w:type="dxa"/>
            <w:shd w:val="clear" w:color="auto" w:fill="auto"/>
            <w:noWrap/>
            <w:vAlign w:val="center"/>
          </w:tcPr>
          <w:p w14:paraId="38221625">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i w:val="0"/>
                <w:iCs w:val="0"/>
                <w:color w:val="auto"/>
                <w:sz w:val="21"/>
                <w:szCs w:val="21"/>
                <w:highlight w:val="none"/>
                <w:u w:val="none" w:color="auto"/>
                <w:shd w:val="clear" w:fill="auto"/>
              </w:rPr>
            </w:pPr>
          </w:p>
        </w:tc>
        <w:tc>
          <w:tcPr>
            <w:tcW w:w="1528" w:type="dxa"/>
            <w:vMerge w:val="restart"/>
            <w:shd w:val="clear" w:color="auto" w:fill="auto"/>
            <w:noWrap/>
            <w:vAlign w:val="center"/>
          </w:tcPr>
          <w:p w14:paraId="472DDAC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32</w:t>
            </w:r>
            <w:r>
              <w:rPr>
                <w:rFonts w:hint="default" w:ascii="Times New Roman" w:hAnsi="Times New Roman" w:eastAsia="宋体"/>
                <w:color w:val="auto"/>
                <w:sz w:val="21"/>
                <w:szCs w:val="24"/>
                <w:highlight w:val="none"/>
                <w:u w:val="none" w:color="auto"/>
                <w:shd w:val="clear" w:fill="auto"/>
                <w:vertAlign w:val="superscript"/>
              </w:rPr>
              <w:t>]</w:t>
            </w:r>
          </w:p>
        </w:tc>
      </w:tr>
      <w:tr w14:paraId="549B0AC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74C0626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65~70岁</w:t>
            </w:r>
          </w:p>
        </w:tc>
        <w:tc>
          <w:tcPr>
            <w:tcW w:w="1080" w:type="dxa"/>
            <w:shd w:val="clear" w:color="auto" w:fill="auto"/>
            <w:noWrap/>
            <w:vAlign w:val="center"/>
          </w:tcPr>
          <w:p w14:paraId="649A582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0.933</w:t>
            </w:r>
          </w:p>
        </w:tc>
        <w:tc>
          <w:tcPr>
            <w:tcW w:w="2700" w:type="dxa"/>
            <w:shd w:val="clear" w:color="auto" w:fill="auto"/>
            <w:noWrap/>
            <w:vAlign w:val="center"/>
          </w:tcPr>
          <w:p w14:paraId="7B43341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425C09C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666952A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0F0A46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3BAB7C2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71~75岁</w:t>
            </w:r>
          </w:p>
        </w:tc>
        <w:tc>
          <w:tcPr>
            <w:tcW w:w="1080" w:type="dxa"/>
            <w:shd w:val="clear" w:color="auto" w:fill="auto"/>
            <w:noWrap/>
            <w:vAlign w:val="center"/>
          </w:tcPr>
          <w:p w14:paraId="5A6AFE8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0.922</w:t>
            </w:r>
          </w:p>
        </w:tc>
        <w:tc>
          <w:tcPr>
            <w:tcW w:w="2700" w:type="dxa"/>
            <w:shd w:val="clear" w:color="auto" w:fill="auto"/>
            <w:noWrap/>
            <w:vAlign w:val="center"/>
          </w:tcPr>
          <w:p w14:paraId="78474A4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6C462E0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64F4DDC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640866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2B7BC15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76~80岁</w:t>
            </w:r>
          </w:p>
        </w:tc>
        <w:tc>
          <w:tcPr>
            <w:tcW w:w="1080" w:type="dxa"/>
            <w:shd w:val="clear" w:color="auto" w:fill="auto"/>
            <w:noWrap/>
            <w:vAlign w:val="center"/>
          </w:tcPr>
          <w:p w14:paraId="5DEDCCA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0.897</w:t>
            </w:r>
          </w:p>
        </w:tc>
        <w:tc>
          <w:tcPr>
            <w:tcW w:w="2700" w:type="dxa"/>
            <w:shd w:val="clear" w:color="auto" w:fill="auto"/>
            <w:noWrap/>
            <w:vAlign w:val="center"/>
          </w:tcPr>
          <w:p w14:paraId="0AFCDCC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4E89217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4D20E2D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50650A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15256A6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81~85岁</w:t>
            </w:r>
          </w:p>
        </w:tc>
        <w:tc>
          <w:tcPr>
            <w:tcW w:w="1080" w:type="dxa"/>
            <w:shd w:val="clear" w:color="auto" w:fill="auto"/>
            <w:noWrap/>
            <w:vAlign w:val="center"/>
          </w:tcPr>
          <w:p w14:paraId="763A8AD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0.884</w:t>
            </w:r>
          </w:p>
        </w:tc>
        <w:tc>
          <w:tcPr>
            <w:tcW w:w="2700" w:type="dxa"/>
            <w:shd w:val="clear" w:color="auto" w:fill="auto"/>
            <w:noWrap/>
            <w:vAlign w:val="center"/>
          </w:tcPr>
          <w:p w14:paraId="54A6C57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4171BAB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4AF8D11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441BC10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276E8F0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86~90岁</w:t>
            </w:r>
          </w:p>
        </w:tc>
        <w:tc>
          <w:tcPr>
            <w:tcW w:w="1080" w:type="dxa"/>
            <w:shd w:val="clear" w:color="auto" w:fill="auto"/>
            <w:noWrap/>
            <w:vAlign w:val="center"/>
          </w:tcPr>
          <w:p w14:paraId="42687BD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0.819</w:t>
            </w:r>
          </w:p>
        </w:tc>
        <w:tc>
          <w:tcPr>
            <w:tcW w:w="2700" w:type="dxa"/>
            <w:shd w:val="clear" w:color="auto" w:fill="auto"/>
            <w:noWrap/>
            <w:vAlign w:val="center"/>
          </w:tcPr>
          <w:p w14:paraId="42A38AF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316" w:type="dxa"/>
            <w:shd w:val="clear" w:color="auto" w:fill="auto"/>
            <w:noWrap/>
            <w:vAlign w:val="center"/>
          </w:tcPr>
          <w:p w14:paraId="0676591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w:t>
            </w:r>
          </w:p>
        </w:tc>
        <w:tc>
          <w:tcPr>
            <w:tcW w:w="1528" w:type="dxa"/>
            <w:vMerge w:val="continue"/>
            <w:shd w:val="clear" w:color="auto" w:fill="auto"/>
            <w:noWrap/>
            <w:vAlign w:val="center"/>
          </w:tcPr>
          <w:p w14:paraId="2D6BBC7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37DCED9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21C8CD1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房颤</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状态效用权重</w:t>
            </w:r>
          </w:p>
        </w:tc>
        <w:tc>
          <w:tcPr>
            <w:tcW w:w="1080" w:type="dxa"/>
            <w:shd w:val="clear" w:color="auto" w:fill="auto"/>
            <w:noWrap/>
            <w:vAlign w:val="center"/>
          </w:tcPr>
          <w:p w14:paraId="7E66F73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0.81</w:t>
            </w:r>
          </w:p>
        </w:tc>
        <w:tc>
          <w:tcPr>
            <w:tcW w:w="2700" w:type="dxa"/>
            <w:shd w:val="clear" w:color="auto" w:fill="auto"/>
            <w:noWrap/>
            <w:vAlign w:val="center"/>
          </w:tcPr>
          <w:p w14:paraId="76E2410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0.73  ~ 0.89</w:t>
            </w:r>
          </w:p>
        </w:tc>
        <w:tc>
          <w:tcPr>
            <w:tcW w:w="1316" w:type="dxa"/>
            <w:shd w:val="clear" w:color="auto" w:fill="auto"/>
            <w:noWrap/>
            <w:vAlign w:val="center"/>
          </w:tcPr>
          <w:p w14:paraId="2BE328E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vMerge w:val="restart"/>
            <w:shd w:val="clear" w:color="auto" w:fill="auto"/>
            <w:noWrap/>
            <w:vAlign w:val="center"/>
          </w:tcPr>
          <w:p w14:paraId="2052A88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olor w:val="auto"/>
                <w:sz w:val="21"/>
                <w:szCs w:val="24"/>
                <w:highlight w:val="none"/>
                <w:u w:val="none" w:color="auto"/>
                <w:shd w:val="clear" w:fill="auto"/>
                <w:vertAlign w:val="superscript"/>
              </w:rPr>
              <w:t>[</w:t>
            </w:r>
            <w:r>
              <w:rPr>
                <w:rFonts w:hint="eastAsia" w:ascii="Times New Roman" w:hAnsi="Times New Roman" w:eastAsia="宋体"/>
                <w:color w:val="auto"/>
                <w:sz w:val="21"/>
                <w:szCs w:val="24"/>
                <w:highlight w:val="none"/>
                <w:u w:val="none" w:color="auto"/>
                <w:shd w:val="clear" w:fill="auto"/>
                <w:vertAlign w:val="superscript"/>
                <w:lang w:val="en-US" w:eastAsia="zh-CN"/>
              </w:rPr>
              <w:t>33-34</w:t>
            </w:r>
            <w:r>
              <w:rPr>
                <w:rFonts w:hint="default" w:ascii="Times New Roman" w:hAnsi="Times New Roman" w:eastAsia="宋体"/>
                <w:color w:val="auto"/>
                <w:sz w:val="21"/>
                <w:szCs w:val="24"/>
                <w:highlight w:val="none"/>
                <w:u w:val="none" w:color="auto"/>
                <w:shd w:val="clear" w:fill="auto"/>
                <w:vertAlign w:val="superscript"/>
              </w:rPr>
              <w:t>]</w:t>
            </w:r>
          </w:p>
        </w:tc>
      </w:tr>
      <w:tr w14:paraId="3AE445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40E7C7B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ICH状态效用权重</w:t>
            </w:r>
          </w:p>
        </w:tc>
        <w:tc>
          <w:tcPr>
            <w:tcW w:w="1080" w:type="dxa"/>
            <w:shd w:val="clear" w:color="auto" w:fill="auto"/>
            <w:noWrap/>
            <w:vAlign w:val="center"/>
          </w:tcPr>
          <w:p w14:paraId="58436B1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0.57</w:t>
            </w:r>
          </w:p>
        </w:tc>
        <w:tc>
          <w:tcPr>
            <w:tcW w:w="2700" w:type="dxa"/>
            <w:shd w:val="clear" w:color="auto" w:fill="auto"/>
            <w:noWrap/>
            <w:vAlign w:val="center"/>
          </w:tcPr>
          <w:p w14:paraId="50DBCFF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0.68  ~ 0.83</w:t>
            </w:r>
          </w:p>
        </w:tc>
        <w:tc>
          <w:tcPr>
            <w:tcW w:w="1316" w:type="dxa"/>
            <w:shd w:val="clear" w:color="auto" w:fill="auto"/>
            <w:noWrap/>
            <w:vAlign w:val="center"/>
          </w:tcPr>
          <w:p w14:paraId="2BC79CA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vMerge w:val="continue"/>
            <w:shd w:val="clear" w:color="auto" w:fill="auto"/>
            <w:noWrap/>
            <w:vAlign w:val="center"/>
          </w:tcPr>
          <w:p w14:paraId="2612AFA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r w14:paraId="0BC176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786" w:type="dxa"/>
            <w:shd w:val="clear" w:color="auto" w:fill="auto"/>
            <w:noWrap/>
            <w:vAlign w:val="center"/>
          </w:tcPr>
          <w:p w14:paraId="781DFDE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IS效用权重</w:t>
            </w:r>
          </w:p>
        </w:tc>
        <w:tc>
          <w:tcPr>
            <w:tcW w:w="1080" w:type="dxa"/>
            <w:shd w:val="clear" w:color="auto" w:fill="auto"/>
            <w:noWrap/>
            <w:vAlign w:val="center"/>
          </w:tcPr>
          <w:p w14:paraId="1D63AF1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lang w:val="en-US"/>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0.46</w:t>
            </w:r>
          </w:p>
        </w:tc>
        <w:tc>
          <w:tcPr>
            <w:tcW w:w="2700" w:type="dxa"/>
            <w:shd w:val="clear" w:color="auto" w:fill="auto"/>
            <w:noWrap/>
            <w:vAlign w:val="center"/>
          </w:tcPr>
          <w:p w14:paraId="0187ED1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0.68  ~ 0.83</w:t>
            </w:r>
          </w:p>
        </w:tc>
        <w:tc>
          <w:tcPr>
            <w:tcW w:w="1316" w:type="dxa"/>
            <w:shd w:val="clear" w:color="auto" w:fill="auto"/>
            <w:noWrap/>
            <w:vAlign w:val="center"/>
          </w:tcPr>
          <w:p w14:paraId="0995BB7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Beta</w:t>
            </w:r>
          </w:p>
        </w:tc>
        <w:tc>
          <w:tcPr>
            <w:tcW w:w="1528" w:type="dxa"/>
            <w:vMerge w:val="continue"/>
            <w:shd w:val="clear" w:color="auto" w:fill="auto"/>
            <w:noWrap/>
            <w:vAlign w:val="center"/>
          </w:tcPr>
          <w:p w14:paraId="437EEBC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bottom"/>
              <w:rPr>
                <w:rFonts w:hint="default" w:ascii="Times New Roman" w:hAnsi="Times New Roman" w:eastAsia="宋体" w:cs="Times New Roman"/>
                <w:i w:val="0"/>
                <w:iCs w:val="0"/>
                <w:color w:val="auto"/>
                <w:sz w:val="21"/>
                <w:szCs w:val="21"/>
                <w:highlight w:val="none"/>
                <w:u w:val="none" w:color="auto"/>
                <w:shd w:val="clear" w:fill="auto"/>
              </w:rPr>
            </w:pPr>
          </w:p>
        </w:tc>
      </w:tr>
    </w:tbl>
    <w:p w14:paraId="33CDDCD5">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p>
    <w:sectPr>
      <w:footerReference r:id="rId5" w:type="first"/>
      <w:pgSz w:w="12240" w:h="15840"/>
      <w:pgMar w:top="1440" w:right="1800" w:bottom="1440" w:left="1800" w:header="720" w:footer="720" w:gutter="0"/>
      <w:pgBorders>
        <w:top w:val="none" w:sz="0" w:space="0"/>
        <w:left w:val="none" w:sz="0" w:space="0"/>
        <w:bottom w:val="none" w:sz="0" w:space="0"/>
        <w:right w:val="none" w:sz="0" w:space="0"/>
      </w:pgBorders>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F98BB">
    <w:pPr>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081C579-DD05-4A54-B43A-0BE0731E6582}" w:val=" ADDIN NE.Ref.{0081C579-DD05-4A54-B43A-0BE0731E6582}&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2688237-99F5-4ABD-8017-AE5C4114C78C}" w:val=" ADDIN NE.Ref.{02688237-99F5-4ABD-8017-AE5C4114C78C}&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053178F7-5DBD-42C3-9B33-00643125CC6C}" w:val=" ADDIN NE.Ref.{053178F7-5DBD-42C3-9B33-00643125CC6C}&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05B2D002-3FDC-4AA7-96C2-8D954EFC207D}" w:val=" ADDIN NE.Ref.{05B2D002-3FDC-4AA7-96C2-8D954EFC207D}&lt;Citation&gt;&lt;Group&gt;&lt;References&gt;&lt;Item&gt;&lt;ID&gt;52&lt;/ID&gt;&lt;UID&gt;{F6E021A9-E4BC-4578-AE48-D9F047C547A3}&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5&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0&lt;/_created&gt;&lt;_modified&gt;66152720&lt;/_modified&gt;&lt;_impact_factor&gt;   5.300&lt;/_impact_factor&gt;&lt;_social_category&gt;心脏和心血管系统(2)&lt;/_social_category&gt;&lt;_collection_scope&gt;SCIE&lt;/_collection_scope&gt;&lt;/Details&gt;&lt;Extra&gt;&lt;DBUID&gt;{61C24443-8F82-4FB0-AC72-0FD1094AC3B1}&lt;/DBUID&gt;&lt;/Extra&gt;&lt;/Item&gt;&lt;/References&gt;&lt;/Group&gt;&lt;Group&gt;&lt;References&gt;&lt;Item&gt;&lt;ID&gt;51&lt;/ID&gt;&lt;UID&gt;{88CC6929-B5AB-46E5-AB1C-E92A24559BA7}&lt;/UID&gt;&lt;Title&gt;Nurse-led vs. usual-care for atrial fibrillation&lt;/Title&gt;&lt;Template&gt;Journal Article&lt;/Template&gt;&lt;Star&gt;0&lt;/Star&gt;&lt;Tag&gt;5&lt;/Tag&gt;&lt;Author&gt;Wijtvliet, E P J P; Tieleman, R G; van Gelder, I C; Pluymaekers, N A H A; Rienstra, M; Folkeringa, R J; Bronzwaer, P; Elvan, A; Elders, J; Tukkie, R; Luermans, J G L M; Van Asselt, A D I T; Van Kuijk, S M J; Tijssen, J G; Crijns, H J G M; RACE, Investigators&lt;/Author&gt;&lt;Year&gt;2020&lt;/Year&gt;&lt;Details&gt;&lt;_alternate_title&gt;European Heart Journal&lt;/_alternate_title&gt;&lt;_date_display&gt;2020&lt;/_date_display&gt;&lt;_date&gt;2020-01-01&lt;/_date&gt;&lt;_doi&gt;10.1093/eurheartj/ehz666&lt;/_doi&gt;&lt;_issue&gt;5&lt;/_issue&gt;&lt;_journal&gt;European Heart Journal&lt;/_journal&gt;&lt;_pages&gt;634-641&lt;/_pages&gt;&lt;_url&gt;https://doi.org/10.1093/eurheartj/ehz666_x000d__x000a_PMID  - 31544925&lt;/_url&gt;&lt;_volume&gt;41&lt;/_volume&gt;&lt;_created&gt;66152720&lt;/_created&gt;&lt;_modified&gt;66152720&lt;/_modified&gt;&lt;_impact_factor&gt;  35.600&lt;/_impact_factor&gt;&lt;_social_category&gt;心脏和心血管系统(1)&lt;/_social_category&gt;&lt;_collection_scope&gt;SCIE&lt;/_collection_scope&gt;&lt;/Details&gt;&lt;Extra&gt;&lt;DBUID&gt;{61C24443-8F82-4FB0-AC72-0FD1094AC3B1}&lt;/DBUID&gt;&lt;/Extra&gt;&lt;/Item&gt;&lt;/References&gt;&lt;/Group&gt;&lt;Group&gt;&lt;References&gt;&lt;Item&gt;&lt;ID&gt;50&lt;/ID&gt;&lt;UID&gt;{DFE18346-F631-4D16-9F7B-48548769549A}&lt;/UID&gt;&lt;Title&gt;Effects of intensive, targeted education by pharmacists on anticoagulant patients with atrial fibrillation: a multicentre randomized controlled trial from China&lt;/Title&gt;&lt;Template&gt;Journal Article&lt;/Template&gt;&lt;Star&gt;0&lt;/Star&gt;&lt;Tag&gt;5&lt;/Tag&gt;&lt;Author&gt;Xu, Wenlin; Wu, Tingting; Chen, Jiana; Lv, Meina; Wang, Na; Qiu, Sha; Dai, Hengfen; Hu, Wei; Chen, Pei; Li, Meijuan; Li, Li; Zhang, Feilong; Chang, Sijie; Zhang, Jinhua&lt;/Author&gt;&lt;Year&gt;2024&lt;/Year&gt;&lt;Details&gt;&lt;_alternate_title&gt;European Journal of Cardiovascular Nursing&lt;/_alternate_title&gt;&lt;_date_display&gt;2024&lt;/_date_display&gt;&lt;_date&gt;2024-01-01&lt;/_date&gt;&lt;_doi&gt;10.1093/eurjcn/zvae092&lt;/_doi&gt;&lt;_issue&gt;8&lt;/_issue&gt;&lt;_journal&gt;European Journal of Cardiovascular Nursing&lt;/_journal&gt;&lt;_pages&gt;935-944&lt;/_pages&gt;&lt;_url&gt;https://doi.org/10.1093/eurjcn/zvae092&lt;/_url&gt;&lt;_volume&gt;23&lt;/_volume&gt;&lt;_created&gt;66152720&lt;/_created&gt;&lt;_modified&gt;66152720&lt;/_modified&gt;&lt;_impact_factor&gt;   3.900&lt;/_impact_factor&gt;&lt;_social_category&gt;心脏和心血管系统(3) &amp;amp; 护理(1)&lt;/_social_category&gt;&lt;_collection_scope&gt;SCIE;SSCI&lt;/_collection_scope&gt;&lt;/Details&gt;&lt;Extra&gt;&lt;DBUID&gt;{61C24443-8F82-4FB0-AC72-0FD1094AC3B1}&lt;/DBUID&gt;&lt;/Extra&gt;&lt;/Item&gt;&lt;/References&gt;&lt;/Group&gt;&lt;/Citation&gt;_x000a_"/>
    <w:docVar w:name="NE.Ref{0B7816F2-D08E-450F-99A8-71F3B9566C23}" w:val=" ADDIN NE.Ref.{0B7816F2-D08E-450F-99A8-71F3B9566C23}&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F896915-DD82-4079-A9F2-E015A2F86CFB}" w:val=" ADDIN NE.Ref.{0F896915-DD82-4079-A9F2-E015A2F86CFB}&lt;Citation&gt;&lt;Group&gt;&lt;References&gt;&lt;Item&gt;&lt;ID&gt;35&lt;/ID&gt;&lt;UID&gt;{58A17634-DC95-4C5D-8332-4D6B7D524C1E}&lt;/UID&gt;&lt;Title&gt;Population-Based Screening for Atrial Fibrillation&lt;/Title&gt;&lt;Template&gt;Journal Article&lt;/Template&gt;&lt;Star&gt;0&lt;/Star&gt;&lt;Tag&gt;0&lt;/Tag&gt;&lt;Author&gt;Khurshid, Shaan; Healey, Jeffrey S; McIntyre, William F; Lubitz, Steven A&lt;/Author&gt;&lt;Year&gt;2020&lt;/Year&gt;&lt;Details&gt;&lt;_alternate_title&gt;Circulation Research&lt;/_alternate_title&gt;&lt;_date_display&gt;2020&lt;/_date_display&gt;&lt;_date&gt;2020-01-01&lt;/_date&gt;&lt;_doi&gt;10.1161/CIRCRESAHA.120.316341&lt;/_doi&gt;&lt;_issue&gt;1&lt;/_issue&gt;&lt;_journal&gt;Circulation Research&lt;/_journal&gt;&lt;_pages&gt;143-154&lt;/_pages&gt;&lt;_url&gt;https://www.ahajournals.org/doi/10.1161/CIRCRESAHA.120.316341&lt;/_url&gt;&lt;_volume&gt;127&lt;/_volume&gt;&lt;_created&gt;66152555&lt;/_created&gt;&lt;_modified&gt;66152555&lt;/_modified&gt;&lt;_impact_factor&gt;  16.200&lt;/_impact_factor&gt;&lt;_social_category&gt;心脏和心血管系统(1) &amp;amp; 血液学(1) &amp;amp; 外周血管病(1)&lt;/_social_category&gt;&lt;_collection_scope&gt;SCIE&lt;/_collection_scope&gt;&lt;/Details&gt;&lt;Extra&gt;&lt;DBUID&gt;{61C24443-8F82-4FB0-AC72-0FD1094AC3B1}&lt;/DBUID&gt;&lt;/Extra&gt;&lt;/Item&gt;&lt;/References&gt;&lt;/Group&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Citation&gt;_x000a_"/>
    <w:docVar w:name="NE.Ref{132CB383-F5E3-4DED-A5B6-7F8D2F7C370F}" w:val=" ADDIN NE.Ref.{132CB383-F5E3-4DED-A5B6-7F8D2F7C370F}&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142DE21B-CBBE-4434-84D6-EE1463986E16}" w:val=" ADDIN NE.Ref.{142DE21B-CBBE-4434-84D6-EE1463986E16}&lt;Citation&gt;&lt;Group&gt;&lt;References&gt;&lt;Item&gt;&lt;ID&gt;22&lt;/ID&gt;&lt;UID&gt;{3C76204D-2E89-4B72-8D86-1D81BF7B6A4D}&lt;/UID&gt;&lt;Title&gt;Impact of atrial fibrillation on the risk of death: the Framingham Heart Study&lt;/Title&gt;&lt;Template&gt;Journal Article&lt;/Template&gt;&lt;Star&gt;0&lt;/Star&gt;&lt;Tag&gt;0&lt;/Tag&gt;&lt;Author&gt;Benjamin, Emelia J; Wolf, Philip A; D&amp;apos;Agostino, Ralph B; Silbershatz, Herbert; Kannel, William B; Levy, Daniel&lt;/Author&gt;&lt;Year&gt;1998&lt;/Year&gt;&lt;Details&gt;&lt;_alternate_title&gt;Circulation&lt;/_alternate_title&gt;&lt;_collection_scope&gt;SCIE&lt;/_collection_scope&gt;&lt;_created&gt;66143392&lt;/_created&gt;&lt;_date&gt;1998-01-01&lt;/_date&gt;&lt;_date_display&gt;1998&lt;/_date_display&gt;&lt;_doi&gt;10.1161/01.CIR.98.10.946&lt;/_doi&gt;&lt;_impact_factor&gt;  38.600&lt;/_impact_factor&gt;&lt;_issue&gt;10&lt;/_issue&gt;&lt;_journal&gt;Circulation&lt;/_journal&gt;&lt;_modified&gt;66143392&lt;/_modified&gt;&lt;_pages&gt;946-952&lt;/_pages&gt;&lt;_social_category&gt;心脏和心血管系统(1) &amp;amp; 外周血管病(1)&lt;/_social_category&gt;&lt;_url&gt;https://pubmed.ncbi.nlm.nih.gov/9737513/_x000d__x000a_PMID - 9737513&lt;/_url&gt;&lt;_volume&gt;98&lt;/_volume&gt;&lt;/Details&gt;&lt;Extra&gt;&lt;DBUID&gt;{61C24443-8F82-4FB0-AC72-0FD1094AC3B1}&lt;/DBUID&gt;&lt;/Extra&gt;&lt;/Item&gt;&lt;/References&gt;&lt;/Group&gt;&lt;/Citation&gt;_x000a_"/>
    <w:docVar w:name="NE.Ref{14D11E11-DED0-4CAE-9EF5-95FE5AC5E7F5}" w:val=" ADDIN NE.Ref.{14D11E11-DED0-4CAE-9EF5-95FE5AC5E7F5}&lt;Citation&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39&lt;/ID&gt;&lt;UID&gt;{C7A1DB70-ECC3-46E7-9AEF-600E9611E2A3}&lt;/UID&gt;&lt;Title&gt;Cost-Effectiveness of Extended and One-Time Screening Versus No Screening for Non-Valvular Atrial Fibrillation in the USA&lt;/Title&gt;&lt;Template&gt;Journal Article&lt;/Template&gt;&lt;Star&gt;0&lt;/Star&gt;&lt;Tag&gt;0&lt;/Tag&gt;&lt;Author&gt;Oguz, Mustafa; Lanitis, Tereza; Li, Xiaoyan; Wygant, Gail; Singer, Daniel E; Friend, Keith; Hlavacek, Patrick; Nikolaou, Andreas; Mattke, Soeren&lt;/Author&gt;&lt;Year&gt;2019&lt;/Year&gt;&lt;Details&gt;&lt;_alternate_title&gt;Applied Health Economics and Health Policy&lt;/_alternate_title&gt;&lt;_date_display&gt;2019&lt;/_date_display&gt;&lt;_date&gt;2019-01-01&lt;/_date&gt;&lt;_doi&gt;10.1007/s40258-019-00542-y&lt;/_doi&gt;&lt;_issue&gt;2&lt;/_issue&gt;&lt;_journal&gt;Applied Health Economics and Health Policy&lt;/_journal&gt;&lt;_ori_publication&gt;Springer Nature&lt;/_ori_publication&gt;&lt;_pages&gt;255-274&lt;/_pages&gt;&lt;_url&gt;https://doi.org/10.1007/s40258-019-00542-y&lt;/_url&gt;&lt;_volume&gt;17&lt;/_volume&gt;&lt;_created&gt;66152580&lt;/_created&gt;&lt;_modified&gt;66152580&lt;/_modified&gt;&lt;_impact_factor&gt;   3.300&lt;/_impact_factor&gt;&lt;_social_category&gt;经济学(3) &amp;amp; 卫生保健与服务(3) &amp;amp; 卫生政策与服务(3)&lt;/_social_category&gt;&lt;_collection_scope&gt;SCIE;SSCI&lt;/_collection_scop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15830217-30B9-4D6C-A816-67985F52D03C}" w:val=" ADDIN NE.Ref.{15830217-30B9-4D6C-A816-67985F52D03C}&lt;Citation&gt;&lt;Group&gt;&lt;References&gt;&lt;Item&gt;&lt;ID&gt;30&lt;/ID&gt;&lt;UID&gt;{20112721-086E-4D54-9C3C-BC6CA3929F04}&lt;/UID&gt;&lt;Title&gt;Epidemiological characteristics of atrial fibrillation in Southern China: results from the Guangzhou Heart Study&lt;/Title&gt;&lt;Template&gt;Journal Article&lt;/Template&gt;&lt;Star&gt;0&lt;/Star&gt;&lt;Tag&gt;0&lt;/Tag&gt;&lt;Author&gt;Deng, H; Shantsila, A; Guo, P; Potpara, T S; Lip, G Y H&lt;/Author&gt;&lt;Year&gt;2018&lt;/Year&gt;&lt;Details&gt;&lt;_alternate_title&gt;Scientific Reports&lt;/_alternate_title&gt;&lt;_date_display&gt;2018&lt;/_date_display&gt;&lt;_date&gt;2018-01-01&lt;/_date&gt;&lt;_doi&gt;10.1038/s41598-018-35928-w&lt;/_doi&gt;&lt;_issue&gt;1&lt;/_issue&gt;&lt;_journal&gt;Scientific Reports&lt;/_journal&gt;&lt;_pages&gt;17829&lt;/_pages&gt;&lt;_url&gt;https://www.nature.com/articles/s41598-018-35928-w&lt;/_url&gt;&lt;_volume&gt;8&lt;/_volume&gt;&lt;_created&gt;66152548&lt;/_created&gt;&lt;_modified&gt;66152548&lt;/_modified&gt;&lt;_impact_factor&gt;   3.900&lt;/_impact_factor&gt;&lt;_social_category&gt;综合性期刊(3)&lt;/_social_category&gt;&lt;_collection_scope&gt;SCIE&lt;/_collection_scope&gt;&lt;/Details&gt;&lt;Extra&gt;&lt;DBUID&gt;{61C24443-8F82-4FB0-AC72-0FD1094AC3B1}&lt;/DBUID&gt;&lt;/Extra&gt;&lt;/Item&gt;&lt;/References&gt;&lt;/Group&gt;&lt;/Citation&gt;_x000a_"/>
    <w:docVar w:name="NE.Ref{160D001F-2B13-434D-96CB-3984F3E14C85}" w:val=" ADDIN NE.Ref.{160D001F-2B13-434D-96CB-3984F3E14C85}&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187F66D1-07BF-45A2-923D-A4A0C0D3012E}" w:val=" ADDIN NE.Ref.{187F66D1-07BF-45A2-923D-A4A0C0D3012E}&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Citation&gt;_x000a_"/>
    <w:docVar w:name="NE.Ref{1AB5C189-C3DA-4582-BA95-CA4F706A2BEC}" w:val=" ADDIN NE.Ref.{1AB5C189-C3DA-4582-BA95-CA4F706A2BEC}&lt;Citation&gt;&lt;Group&gt;&lt;References&gt;&lt;Item&gt;&lt;ID&gt;15&lt;/ID&gt;&lt;UID&gt;{CE46CC2F-1375-4C31-BE7B-8760B4E5FBB0}&lt;/UID&gt;&lt;Title&gt;The effect of stroke and stroke prophylaxis with aspirin or warfarin on quality of life&lt;/Title&gt;&lt;Template&gt;Journal Article&lt;/Template&gt;&lt;Star&gt;0&lt;/Star&gt;&lt;Tag&gt;0&lt;/Tag&gt;&lt;Author&gt;Gage, B F; Cardinalli, A B; Owens, D K&lt;/Author&gt;&lt;Year&gt;1996&lt;/Year&gt;&lt;Details&gt;&lt;_alternate_title&gt;Archives of Internal Medicine&lt;/_alternate_title&gt;&lt;_created&gt;66142934&lt;/_created&gt;&lt;_date&gt;1996-01-01&lt;/_date&gt;&lt;_date_display&gt;1996&lt;/_date_display&gt;&lt;_issue&gt;16&lt;/_issue&gt;&lt;_journal&gt;Archives of Internal Medicine&lt;/_journal&gt;&lt;_keywords&gt;脑卒中; 阿司匹林; 华法林; 生活质量; 效用值&lt;/_keywords&gt;&lt;_modified&gt;66142934&lt;/_modified&gt;&lt;_ori_publication&gt;American Medical Association&lt;/_ori_publication&gt;&lt;_pages&gt;1829-1836&lt;/_pages&gt;&lt;_volume&gt;156&lt;/_volume&gt;&lt;/Details&gt;&lt;Extra&gt;&lt;DBUID&gt;{61C24443-8F82-4FB0-AC72-0FD1094AC3B1}&lt;/DBUID&gt;&lt;/Extra&gt;&lt;/Item&gt;&lt;/References&gt;&lt;/Group&gt;&lt;Group&gt;&lt;References&gt;&lt;Item&gt;&lt;ID&gt;14&lt;/ID&gt;&lt;UID&gt;{8EF26BB4-8B7F-457C-95A1-C41F6BE87C2C}&lt;/UID&gt;&lt;Title&gt;The cost effectiveness of anticoagulation management services for patients with atrial fibrillation and at high risk of stroke in the US&lt;/Title&gt;&lt;Template&gt;Journal Article&lt;/Template&gt;&lt;Star&gt;0&lt;/Star&gt;&lt;Tag&gt;0&lt;/Tag&gt;&lt;Author&gt;Sullivan, P W; Arant, T W; Ellis, S L; Et, Al.&lt;/Author&gt;&lt;Year&gt;2006&lt;/Year&gt;&lt;Details&gt;&lt;_alternate_title&gt;Pharmacoeconomics&lt;/_alternate_title&gt;&lt;_collection_scope&gt;SCIE;SSCI&lt;/_collection_scope&gt;&lt;_created&gt;66142934&lt;/_created&gt;&lt;_date&gt;2006-01-01&lt;/_date&gt;&lt;_date_display&gt;2006&lt;/_date_display&gt;&lt;_impact_factor&gt;   4.600&lt;/_impact_factor&gt;&lt;_issue&gt;10&lt;/_issue&gt;&lt;_journal&gt;Pharmacoeconomics&lt;/_journal&gt;&lt;_keywords&gt;房颤; 抗凝治疗; 成本效果分析; 卫生经济学&lt;/_keywords&gt;&lt;_modified&gt;66142934&lt;/_modified&gt;&lt;_ori_publication&gt;Adis International&lt;/_ori_publication&gt;&lt;_pages&gt;1021-1033&lt;/_pages&gt;&lt;_social_category&gt;经济学(2) &amp;amp; 卫生保健与服务(2) &amp;amp; 卫生政策与服务(2) &amp;amp; 药学(2)&lt;/_social_category&gt;&lt;_volume&gt;24&lt;/_volume&gt;&lt;/Details&gt;&lt;Extra&gt;&lt;DBUID&gt;{61C24443-8F82-4FB0-AC72-0FD1094AC3B1}&lt;/DBUID&gt;&lt;/Extra&gt;&lt;/Item&gt;&lt;/References&gt;&lt;/Group&gt;&lt;/Citation&gt;_x000a_"/>
    <w:docVar w:name="NE.Ref{1E6FBE2C-6C87-448E-8E81-1189BAA87CC3}" w:val=" ADDIN NE.Ref.{1E6FBE2C-6C87-448E-8E81-1189BAA87CC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21F3325A-7B22-4BAC-882B-D17A584E2DF0}" w:val=" ADDIN NE.Ref.{21F3325A-7B22-4BAC-882B-D17A584E2DF0}&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256458C6-72C6-418B-9D10-09442FDD6444}" w:val=" ADDIN NE.Ref.{256458C6-72C6-418B-9D10-09442FDD6444}&lt;Citation&gt;&lt;Group&gt;&lt;References&gt;&lt;Item&gt;&lt;ID&gt;48&lt;/ID&gt;&lt;UID&gt;{98B13A87-8ECE-4025-9E22-3DE038D9178D}&lt;/UID&gt;&lt;Title&gt;Model parameter estimation and uncertainty: a report of the ISPOR-SMDM Modeling Good Research Practices Task Force--6&lt;/Title&gt;&lt;Template&gt;Journal Article&lt;/Template&gt;&lt;Star&gt;0&lt;/Star&gt;&lt;Tag&gt;5&lt;/Tag&gt;&lt;Author&gt;Briggs, Andrew H; Weinstein, Milton C; Fenwick, Elisabeth A L; Karnon, Jonathan; Sculpher, Mark J; Paltiel, A David; ISPOR-SMDM, Modeling Good Research Practices&lt;/Author&gt;&lt;Year&gt;2012&lt;/Year&gt;&lt;Details&gt;&lt;_alternate_title&gt;Value in Health&lt;/_alternate_title&gt;&lt;_date_display&gt;2012&lt;/_date_display&gt;&lt;_date&gt;2012-01-01&lt;/_date&gt;&lt;_doi&gt;10.1016/j.jval.2012.04.014&lt;/_doi&gt;&lt;_issue&gt;6&lt;/_issue&gt;&lt;_journal&gt;Value in Health&lt;/_journal&gt;&lt;_pages&gt;835-842&lt;/_pages&gt;&lt;_url&gt;https://doi.org/10.1016/j.jval.2012.04.014&lt;/_url&gt;&lt;_volume&gt;15&lt;/_volume&gt;&lt;_created&gt;66152605&lt;/_created&gt;&lt;_modified&gt;66152605&lt;/_modified&gt;&lt;_impact_factor&gt;   6.000&lt;/_impact_factor&gt;&lt;_social_category&gt;经济学(2) &amp;amp; 卫生保健与服务(2) &amp;amp; 卫生政策与服务(2)&lt;/_social_category&gt;&lt;_collection_scope&gt;SCIE;SSCI&lt;/_collection_scope&gt;&lt;/Details&gt;&lt;Extra&gt;&lt;DBUID&gt;{61C24443-8F82-4FB0-AC72-0FD1094AC3B1}&lt;/DBUID&gt;&lt;/Extra&gt;&lt;/Item&gt;&lt;/References&gt;&lt;/Group&gt;&lt;/Citation&gt;_x000a_"/>
    <w:docVar w:name="NE.Ref{2AC75202-7CB2-47A6-88B4-C67CB57F3CE5}" w:val=" ADDIN NE.Ref.{2AC75202-7CB2-47A6-88B4-C67CB57F3CE5}&lt;Citation&gt;&lt;Group&gt;&lt;References&gt;&lt;Item&gt;&lt;ID&gt;44&lt;/ID&gt;&lt;UID&gt;{57E37150-B9FF-4198-8902-84DC53C2C283}&lt;/UID&gt;&lt;Title&gt;药物经济学评价Markov模型中转移概率计算的探讨&lt;/Title&gt;&lt;Template&gt;Journal Article&lt;/Template&gt;&lt;Star&gt;0&lt;/Star&gt;&lt;Tag&gt;0&lt;/Tag&gt;&lt;Author&gt;周挺; 马爱霞; 付露阳&lt;/Author&gt;&lt;Year&gt;2017&lt;/Year&gt;&lt;Details&gt;&lt;_alternate_title&gt;中国卫生经济&lt;/_alternate_title&gt;&lt;_date_display&gt;2017&lt;/_date_display&gt;&lt;_date&gt;2017-01-01&lt;/_date&gt;&lt;_doi&gt;CNKI:SUN:WEIJ.0.2017-12-014&lt;/_doi&gt;&lt;_issue&gt;12&lt;/_issue&gt;&lt;_journal&gt;中国卫生经济&lt;/_journal&gt;&lt;_ori_publication&gt;中国卫生经济学会&lt;/_ori_publication&gt;&lt;_pages&gt;40-42&lt;/_pages&gt;&lt;_volume&gt;36&lt;/_volume&gt;&lt;_created&gt;66152595&lt;/_created&gt;&lt;_modified&gt;66152595&lt;/_modified&gt;&lt;_collection_scope&gt;PKU&lt;/_collection_scope&gt;&lt;_translated_author&gt;Zhou, Ting;Ma, Ai xia;Fu, Lu yang&lt;/_translated_author&gt;&lt;/Details&gt;&lt;Extra&gt;&lt;DBUID&gt;{61C24443-8F82-4FB0-AC72-0FD1094AC3B1}&lt;/DBUID&gt;&lt;/Extra&gt;&lt;/Item&gt;&lt;/References&gt;&lt;/Group&gt;&lt;/Citation&gt;_x000a_"/>
    <w:docVar w:name="NE.Ref{2B2E841E-7E4B-4C07-A788-7CC22E734539}" w:val=" ADDIN NE.Ref.{2B2E841E-7E4B-4C07-A788-7CC22E734539}&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25&lt;/ID&gt;&lt;UID&gt;{9698C7DF-C6A9-4135-876C-7D8419E9B27A}&lt;/UID&gt;&lt;Title&gt;Prevalence of asymptomatic atrial fibrillation and risk factors associated with asymptomatic status: a systematic review and meta-analysis&lt;/Title&gt;&lt;Template&gt;Journal Article&lt;/Template&gt;&lt;Star&gt;0&lt;/Star&gt;&lt;Tag&gt;0&lt;/Tag&gt;&lt;Author&gt;Pamporis, K; Karakasis, P; Sagris, M; Theofilis, P; Milaras, N; Pantelidaki, A; Mourouzis, I; Fragakis, N; Vlachos, K; Kordalis, A; Tsiachris, D&lt;/Author&gt;&lt;Year&gt;2025&lt;/Year&gt;&lt;Details&gt;&lt;_alternate_title&gt;European Journal of Preventive Cardiology&lt;/_alternate_title&gt;&lt;_date_display&gt;2025&lt;/_date_display&gt;&lt;_date&gt;2025-01-01&lt;/_date&gt;&lt;_doi&gt;10.1093/eurjpc/zwaf138&lt;/_doi&gt;&lt;_isbn&gt; &lt;/_isbn&gt;&lt;_issue&gt; &lt;/_issue&gt;&lt;_journal&gt;European Journal of Preventive Cardiology&lt;/_journal&gt;&lt;_keywords&gt;asymptomatic atrial fibrillation; prevalence; risk factors; meta-analysis&lt;/_keywords&gt;&lt;_ori_publication&gt;Oxford University Press&lt;/_ori_publication&gt;&lt;_pages&gt;zwaf138&lt;/_pages&gt;&lt;_url&gt;https://academic.oup.com/eurjpc/advance-article/doi/10.1093/eurjpc/zwaf138&lt;/_url&gt;&lt;_volume&gt;(ahead of print)&lt;/_volume&gt;&lt;_created&gt;66152319&lt;/_created&gt;&lt;_modified&gt;66152319&lt;/_modified&gt;&lt;_impact_factor&gt;   7.500&lt;/_impact_factor&gt;&lt;_social_category&gt;心脏和心血管系统(2)&lt;/_social_category&gt;&lt;_collection_scope&gt;SCIE&lt;/_collection_scope&gt;&lt;/Details&gt;&lt;Extra&gt;&lt;DBUID&gt;{61C24443-8F82-4FB0-AC72-0FD1094AC3B1}&lt;/DBUID&gt;&lt;/Extra&gt;&lt;/Item&gt;&lt;/References&gt;&lt;/Group&gt;&lt;/Citation&gt;_x000a_"/>
    <w:docVar w:name="NE.Ref{3607297B-C931-4848-9947-2681873FF19A}" w:val=" ADDIN NE.Ref.{3607297B-C931-4848-9947-2681873FF19A}&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Group&gt;&lt;References&gt;&lt;Item&gt;&lt;ID&gt;16&lt;/ID&gt;&lt;UID&gt;{9181004B-8DD7-4049-A531-B4280FDFF03B}&lt;/UID&gt;&lt;Title&gt;Rivaroxaban versus Warfarin in Nonvalvular Atrial Fibrillation&lt;/Title&gt;&lt;Template&gt;Journal Article&lt;/Template&gt;&lt;Star&gt;0&lt;/Star&gt;&lt;Tag&gt;0&lt;/Tag&gt;&lt;Author&gt;Patel, Manesh R; Mahaffey, Kenneth W; Garg, Jyotsna; Pan, Guohua; Singer, Daniel E; Hacke, Werner; Breithardt, Günter; Halperin, Jonathan L; Hankey, Graeme J; Piccini, Jonathan P; Becker, Richard C; Nessel, Christopher C; Paolini, John F; Berkowitz, Scott D; Fox, Keith A A; Califf, Robert M&lt;/Author&gt;&lt;Year&gt;2011&lt;/Year&gt;&lt;Details&gt;&lt;_alternate_title&gt;The New England Journal of Medicine&lt;/_alternate_title&gt;&lt;_created&gt;66143308&lt;/_created&gt;&lt;_date&gt;2011-01-01&lt;/_date&gt;&lt;_date_display&gt;2011&lt;/_date_display&gt;&lt;_doi&gt;10.1056/NEJMoa1009638&lt;/_doi&gt;&lt;_issue&gt;10&lt;/_issue&gt;&lt;_journal&gt;The New England Journal of Medicine&lt;/_journal&gt;&lt;_modified&gt;66143308&lt;/_modified&gt;&lt;_pages&gt;883-891&lt;/_pages&gt;&lt;_url&gt;https://pubmed.ncbi.nlm.nih.gov/21830957/&lt;/_url&gt;&lt;_volume&gt;365&lt;/_volume&gt;&lt;/Details&gt;&lt;Extra&gt;&lt;DBUID&gt;{61C24443-8F82-4FB0-AC72-0FD1094AC3B1}&lt;/DBUID&gt;&lt;/Extra&gt;&lt;/Item&gt;&lt;/References&gt;&lt;/Group&gt;&lt;/Citation&gt;_x000a_"/>
    <w:docVar w:name="NE.Ref{40249DA3-5660-4C11-ADC5-72D894A9973B}" w:val=" ADDIN NE.Ref.{40249DA3-5660-4C11-ADC5-72D894A9973B}&lt;Citation&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Group&gt;&lt;References&gt;&lt;Item&gt;&lt;ID&gt;56&lt;/ID&gt;&lt;UID&gt;{408EC3EB-EAD4-4D23-B153-A5F1C52E535E}&lt;/UID&gt;&lt;Title&gt;中国心房颤动管理指南（2025）&lt;/Title&gt;&lt;Template&gt;Journal Article&lt;/Template&gt;&lt;Star&gt;0&lt;/Star&gt;&lt;Tag&gt;0&lt;/Tag&gt;&lt;Author&gt;中华医学会心电生理和起搏分会; 中国医师协会心律学专业委员会&lt;/Author&gt;&lt;Year&gt;2025&lt;/Year&gt;&lt;Details&gt;&lt;_alternate_title&gt;中国心脏起搏与心电生理杂志&lt;/_alternate_title&gt;&lt;_date_display&gt;2025&lt;/_date_display&gt;&lt;_date&gt;2025-01-01&lt;/_date&gt;&lt;_doi&gt;10.13333/j.cnki.cjcpe.2025.04.001&lt;/_doi&gt;&lt;_issue&gt;04&lt;/_issue&gt;&lt;_journal&gt;中国心脏起搏与心电生理杂志&lt;/_journal&gt;&lt;_pages&gt;273-343&lt;/_pages&gt;&lt;_volume&gt;39&lt;/_volume&gt;&lt;_created&gt;66152730&lt;/_created&gt;&lt;_modified&gt;66152730&lt;/_modified&gt;&lt;_translated_author&gt;Zhong, Hua yi xue hui;Zhong, Guo yi shi xie&lt;/_translated_author&gt;&lt;/Details&gt;&lt;Extra&gt;&lt;DBUID&gt;{61C24443-8F82-4FB0-AC72-0FD1094AC3B1}&lt;/DBUID&gt;&lt;/Extra&gt;&lt;/Item&gt;&lt;/References&gt;&lt;/Group&gt;&lt;/Citation&gt;_x000a_"/>
    <w:docVar w:name="NE.Ref{437D9FEA-A2F7-4DAA-ACFA-C9FAEE7FE050}" w:val=" ADDIN NE.Ref.{437D9FEA-A2F7-4DAA-ACFA-C9FAEE7FE050}&lt;Citation&gt;&lt;Group&gt;&lt;References&gt;&lt;Item&gt;&lt;ID&gt;38&lt;/ID&gt;&lt;UID&gt;{CA721676-6264-4F06-B8C5-5D4D698404EB}&lt;/UID&gt;&lt;Title&gt;Systematic Screening for Atrial Fibrillation in the Community: Evidence and Obstacles&lt;/Title&gt;&lt;Template&gt;Journal Article&lt;/Template&gt;&lt;Star&gt;0&lt;/Star&gt;&lt;Tag&gt;0&lt;/Tag&gt;&lt;Author&gt;Chan, N Y&lt;/Author&gt;&lt;Year&gt;2018&lt;/Year&gt;&lt;Details&gt;&lt;_alternate_title&gt;Arrhythmia &amp;amp; Electrophysiology Review&lt;/_alternate_title&gt;&lt;_date_display&gt;2018&lt;/_date_display&gt;&lt;_date&gt;2018-01-01&lt;/_date&gt;&lt;_doi&gt;10.15420/aer.2017.47.2&lt;/_doi&gt;&lt;_issue&gt;1&lt;/_issue&gt;&lt;_journal&gt;Arrhythmia &amp;amp; Electrophysiology Review&lt;/_journal&gt;&lt;_pages&gt;39-42&lt;/_pages&gt;&lt;_url&gt;https://www.ncbi.nlm.nih.gov/pmc/articles/PMC5889810/_x000d__x000a_PMID  - 29636971_x000d__x000a_PMCID - PMC5889810&lt;/_url&gt;&lt;_volume&gt;7&lt;/_volume&gt;&lt;_created&gt;66152576&lt;/_created&gt;&lt;_modified&gt;66152576&lt;/_modified&gt;&lt;_impact_factor&gt;   3.300&lt;/_impact_factor&gt;&lt;_collection_scope&gt;ESCI&lt;/_collection_scope&gt;&lt;/Details&gt;&lt;Extra&gt;&lt;DBUID&gt;{61C24443-8F82-4FB0-AC72-0FD1094AC3B1}&lt;/DBUID&gt;&lt;/Extra&gt;&lt;/Item&gt;&lt;/References&gt;&lt;/Group&gt;&lt;/Citation&gt;_x000a_"/>
    <w:docVar w:name="NE.Ref{4C554C9E-45F1-4D9B-8A13-CAE75C063B8F}" w:val=" ADDIN NE.Ref.{4C554C9E-45F1-4D9B-8A13-CAE75C063B8F}&lt;Citation&gt;&lt;Group&gt;&lt;References&gt;&lt;Item&gt;&lt;ID&gt;23&lt;/ID&gt;&lt;UID&gt;{2C43C2E8-F9FC-4592-BC52-4A25F757FEFF}&lt;/UID&gt;&lt;Title&gt;广州人口普查年鉴2020（上、下册）&lt;/Title&gt;&lt;Template&gt;Generic&lt;/Template&gt;&lt;Star&gt;0&lt;/Star&gt;&lt;Tag&gt;0&lt;/Tag&gt;&lt;Author&gt;广州市统计局&lt;/Author&gt;&lt;Year&gt;2022&lt;/Year&gt;&lt;Details&gt;&lt;_created&gt;66143420&lt;/_created&gt;&lt;_date&gt;2022-01-01&lt;/_date&gt;&lt;_date_display&gt;2022&lt;/_date_display&gt;&lt;_modified&gt;66143420&lt;/_modified&gt;&lt;_place_published&gt;广州&lt;/_place_published&gt;&lt;_publisher&gt;广州市统计局&lt;/_publisher&gt;&lt;_url&gt;https://tjj.gz.gov.cn/stats_newtjyw/tjsj/pcsj/d7crkpc/content/post_8711587.html_x000d__x000a_https://tjj.gz.gov.cn/stats_newtjyw/tjsj/pcsj/d7crkpc/content/post_8711591.html_x000d__x000a_ER  -&lt;/_url&gt;&lt;_translated_author&gt;Guang, Zhou shi tong ji&lt;/_translated_author&gt;&lt;/Details&gt;&lt;Extra&gt;&lt;DBUID&gt;{61C24443-8F82-4FB0-AC72-0FD1094AC3B1}&lt;/DBUID&gt;&lt;/Extra&gt;&lt;/Item&gt;&lt;/References&gt;&lt;/Group&gt;&lt;/Citation&gt;_x000a_"/>
    <w:docVar w:name="NE.Ref{4D30B0A5-7CAE-4928-80C6-AACE24F6853F}" w:val=" ADDIN NE.Ref.{4D30B0A5-7CAE-4928-80C6-AACE24F6853F}&lt;Citation&gt;&lt;Group&gt;&lt;References&gt;&lt;Item&gt;&lt;ID&gt;55&lt;/ID&gt;&lt;UID&gt;{9160B1DC-F849-4C40-8A1C-26AC810C3E96}&lt;/UID&gt;&lt;Title&gt;Years of disability-adjusted life gained as a result of thrombolytic therapy for acute ischemic stroke&lt;/Title&gt;&lt;Template&gt;Journal Article&lt;/Template&gt;&lt;Star&gt;0&lt;/Star&gt;&lt;Tag&gt;0&lt;/Tag&gt;&lt;Author&gt;Hong, Keun-Sik; Saver, Jeffrey L&lt;/Author&gt;&lt;Year&gt;2010&lt;/Year&gt;&lt;Details&gt;&lt;_alternate_title&gt;Stroke&lt;/_alternate_title&gt;&lt;_date_display&gt;2010&lt;/_date_display&gt;&lt;_date&gt;2010-01-01&lt;/_date&gt;&lt;_doi&gt;10.1161/STROKEAHA.109.571083&lt;/_doi&gt;&lt;_issue&gt;3&lt;/_issue&gt;&lt;_journal&gt;Stroke&lt;/_journal&gt;&lt;_pages&gt;471-477&lt;/_pages&gt;&lt;_url&gt;https://pubmed.ncbi.nlm.nih.gov/20133917/&lt;/_url&gt;&lt;_volume&gt;41&lt;/_volume&gt;&lt;_created&gt;66152724&lt;/_created&gt;&lt;_modified&gt;66152724&lt;/_modified&gt;&lt;_impact_factor&gt;   8.900&lt;/_impact_factor&gt;&lt;_social_category&gt;临床神经病学(1) &amp;amp; 外周血管病(1)&lt;/_social_category&gt;&lt;_collection_scope&gt;SCIE&lt;/_collection_scope&gt;&lt;/Details&gt;&lt;Extra&gt;&lt;DBUID&gt;{61C24443-8F82-4FB0-AC72-0FD1094AC3B1}&lt;/DBUID&gt;&lt;/Extra&gt;&lt;/Item&gt;&lt;/References&gt;&lt;/Group&gt;&lt;/Citation&gt;_x000a_"/>
    <w:docVar w:name="NE.Ref{587A141E-FE2B-4F7E-8CA5-ED941341BB59}" w:val=" ADDIN NE.Ref.{587A141E-FE2B-4F7E-8CA5-ED941341BB59}&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5B5452AC-87A9-462A-A341-49165349B0F8}" w:val=" ADDIN NE.Ref.{5B5452AC-87A9-462A-A341-49165349B0F8}&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date_display&gt;2015&lt;/_date_display&gt;&lt;_date&gt;2015-01-01&lt;/_date&gt;&lt;_doi&gt;10.1093/europace/euv083&lt;/_doi&gt;&lt;_issue&gt;7&lt;/_issue&gt;&lt;_journal&gt;Europace&lt;/_journal&gt;&lt;_keywords&gt;atrial fibrillation; screening; cost-effectiveness; Markov model; STROKESTOP&lt;/_keywords&gt;&lt;_pages&gt;1023-1029&lt;/_pages&gt;&lt;_url&gt;https://academic.oup.com/europace/article/17/7/1023/2398819&lt;/_url&gt;&lt;_volume&gt;17&lt;/_volume&gt;&lt;_created&gt;66142810&lt;/_created&gt;&lt;_modified&gt;66142810&lt;/_modified&gt;&lt;_impact_factor&gt;   7.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5C1CEEFD-B961-4011-A51F-7A005BD46B03}" w:val=" ADDIN NE.Ref.{5C1CEEFD-B961-4011-A51F-7A005BD46B03}&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Citation&gt;_x000a_"/>
    <w:docVar w:name="NE.Ref{6B9A06AC-35AF-4BBD-B34C-1BE38205B7A3}" w:val=" ADDIN NE.Ref.{6B9A06AC-35AF-4BBD-B34C-1BE38205B7A3}&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4&lt;/ID&gt;&lt;UID&gt;{7AF47C20-A49D-43A9-8C7A-69BF70EE2DAD}&lt;/UID&gt;&lt;Title&gt;Cost-effectiveness of dabigatran etexilate for the prevention of stroke and systemic embolism in atrial fibrillation: a Canadian payer perspective&lt;/Title&gt;&lt;Template&gt;Journal Article&lt;/Template&gt;&lt;Star&gt;0&lt;/Star&gt;&lt;Tag&gt;0&lt;/Tag&gt;&lt;Author&gt;Sorensen, S V; Kansal, A R; Connolly, S; Et, Al.&lt;/Author&gt;&lt;Year&gt;2011&lt;/Year&gt;&lt;Details&gt;&lt;_alternate_title&gt;Thrombosis and Haemostasis&lt;/_alternate_title&gt;&lt;_collection_scope&gt;SCIE&lt;/_collection_scope&gt;&lt;_created&gt;66142780&lt;/_created&gt;&lt;_date&gt;2011-01-01&lt;/_date&gt;&lt;_date_display&gt;2011&lt;/_date_display&gt;&lt;_doi&gt;10.1160/TH10-09-0603&lt;/_doi&gt;&lt;_impact_factor&gt;   4.300&lt;/_impact_factor&gt;&lt;_isbn&gt;0340-6245&lt;/_isbn&gt;&lt;_issue&gt;5&lt;/_issue&gt;&lt;_journal&gt;Thrombosis and Haemostasis&lt;/_journal&gt;&lt;_modified&gt;66142780&lt;/_modified&gt;&lt;_pages&gt;908-919&lt;/_pages&gt;&lt;_social_category&gt;血液学(2) &amp;amp; 外周血管病(2)&lt;/_social_category&gt;&lt;_volume&gt;105&lt;/_volume&gt;&lt;/Details&gt;&lt;Extra&gt;&lt;DBUID&gt;{61C24443-8F82-4FB0-AC72-0FD1094AC3B1}&lt;/DBUID&gt;&lt;/Extra&gt;&lt;/Item&gt;&lt;/References&gt;&lt;/Group&gt;&lt;Group&gt;&lt;References&gt;&lt;Item&gt;&lt;ID&gt;1&lt;/ID&gt;&lt;UID&gt;{AEBE465F-208A-4283-8B1C-BFAAAA72BCD2}&lt;/UID&gt;&lt;Title&gt;达比加群和利伐沙班及华法林预防心房颤动并发脑卒中的经济学评价&lt;/Title&gt;&lt;Template&gt;Journal Article&lt;/Template&gt;&lt;Star&gt;0&lt;/Star&gt;&lt;Tag&gt;0&lt;/Tag&gt;&lt;Author&gt;陈永法; 韩洪娜&lt;/Author&gt;&lt;Year&gt;2016&lt;/Year&gt;&lt;Details&gt;&lt;_alternate_title&gt;中国新药杂志&lt;/_alternate_title&gt;&lt;_collection_scope&gt;PKU;CSCD&lt;/_collection_scope&gt;&lt;_created&gt;66142768&lt;/_created&gt;&lt;_date&gt;2016-01-01&lt;/_date&gt;&lt;_date_display&gt;2016&lt;/_date_display&gt;&lt;_isbn&gt;1003-3734&lt;/_isbn&gt;&lt;_issue&gt;11&lt;/_issue&gt;&lt;_journal&gt;中国新药杂志&lt;/_journal&gt;&lt;_modified&gt;66142768&lt;/_modified&gt;&lt;_pages&gt;1216-1224&lt;/_pages&gt;&lt;_volume&gt;25&lt;/_volume&gt;&lt;_translated_author&gt;Chen, Yong fa;Han, Hong na&lt;/_translated_author&gt;&lt;/Details&gt;&lt;Extra&gt;&lt;DBUID&gt;{61C24443-8F82-4FB0-AC72-0FD1094AC3B1}&lt;/DBUID&gt;&lt;/Extra&gt;&lt;/Item&gt;&lt;/References&gt;&lt;/Group&gt;&lt;/Citation&gt;_x000a_"/>
    <w:docVar w:name="NE.Ref{7842BA70-FBD9-4E91-9A30-00856573DAB2}" w:val=" ADDIN NE.Ref.{7842BA70-FBD9-4E91-9A30-00856573DAB2}&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Group&gt;&lt;References&gt;&lt;Item&gt;&lt;ID&gt;33&lt;/ID&gt;&lt;UID&gt;{ABCE0F70-39A8-4C1F-8EB2-DF0938DE72C3}&lt;/UID&gt;&lt;Title&gt;Typical, atypical, and asymptomatic presentations of new-onset atrial fibrillation in the community: characteristics and prognostic implications&lt;/Title&gt;&lt;Template&gt;Journal Article&lt;/Template&gt;&lt;Star&gt;0&lt;/Star&gt;&lt;Tag&gt;0&lt;/Tag&gt;&lt;Author&gt;Siontis, K C; Gersh, B J; Killian, J M; Et, Al.&lt;/Author&gt;&lt;Year&gt;2016&lt;/Year&gt;&lt;Details&gt;&lt;_alternate_title&gt;Heart Rhythm&lt;/_alternate_title&gt;&lt;_date_display&gt;2016&lt;/_date_display&gt;&lt;_date&gt;2016-01-01&lt;/_date&gt;&lt;_doi&gt;10.1016/j.hrthm.2016.03.003&lt;/_doi&gt;&lt;_issue&gt;7&lt;/_issue&gt;&lt;_journal&gt;Heart Rhythm&lt;/_journal&gt;&lt;_pages&gt;1418-1424&lt;/_pages&gt;&lt;_url&gt;https://doi.org/10.1016/j.hrthm.2016.03.003&lt;/_url&gt;&lt;_volume&gt;13&lt;/_volume&gt;&lt;_created&gt;66152551&lt;/_created&gt;&lt;_modified&gt;66152551&lt;/_modified&gt;&lt;_impact_factor&gt;   5.7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AAA4009-B869-4A0F-A7C1-46032FA7766E}" w:val=" ADDIN NE.Ref.{7AAA4009-B869-4A0F-A7C1-46032FA7766E}&lt;Citation&gt;&lt;Group&gt;&lt;References&gt;&lt;Item&gt;&lt;ID&gt;45&lt;/ID&gt;&lt;UID&gt;{91EAEB8E-F7DC-4816-AD55-D8328CD11C51}&lt;/UID&gt;&lt;Title&gt;2024年广州市国民经济和社会发展统计公报&lt;/Title&gt;&lt;Template&gt;Generic&lt;/Template&gt;&lt;Star&gt;0&lt;/Star&gt;&lt;Tag&gt;0&lt;/Tag&gt;&lt;Author&gt;广州市统计局; 国家统计局广州调查队&lt;/Author&gt;&lt;Year&gt;2025&lt;/Year&gt;&lt;Details&gt;&lt;_date_display&gt;2025&lt;/_date_display&gt;&lt;_date&gt;2025-01-01&lt;/_date&gt;&lt;_journal&gt;广州市人民政府网站&lt;/_journal&gt;&lt;_publisher&gt;广州市人民政府&lt;/_publisher&gt;&lt;_secondary_title&gt;广州市人民政府网站&lt;/_secondary_title&gt;&lt;_url&gt;https://www.gz.gov.cn/zwgk/sjfb/tjgb/content/post_10203564.html&lt;/_url&gt;&lt;_created&gt;66152598&lt;/_created&gt;&lt;_modified&gt;66152598&lt;/_modified&gt;&lt;_translated_author&gt;Guang, Zhou shi tong ji;Guo, Jia tong ji ju&lt;/_translated_author&gt;&lt;/Details&gt;&lt;Extra&gt;&lt;DBUID&gt;{61C24443-8F82-4FB0-AC72-0FD1094AC3B1}&lt;/DBUID&gt;&lt;/Extra&gt;&lt;/Item&gt;&lt;/References&gt;&lt;/Group&gt;&lt;/Citation&gt;_x000a_"/>
    <w:docVar w:name="NE.Ref{7BE1BEFC-F448-46A1-B24D-EADE69F9B51F}" w:val=" ADDIN NE.Ref.{7BE1BEFC-F448-46A1-B24D-EADE69F9B51F}&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2&lt;/_created&gt;&lt;_modified&gt;66152722&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E649073-FC43-4A4C-AFE0-F9C2EBE78194}" w:val=" ADDIN NE.Ref.{7E649073-FC43-4A4C-AFE0-F9C2EBE78194}&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86A10877-437E-420C-9311-51BC22E796F2}" w:val=" ADDIN NE.Ref.{86A10877-437E-420C-9311-51BC22E796F2}&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86D5F955-5B95-42F9-BCAB-2D9F93FC991B}" w:val=" ADDIN NE.Ref.{86D5F955-5B95-42F9-BCAB-2D9F93FC991B}&lt;Citation&gt;&lt;Group&gt;&lt;References&gt;&lt;Item&gt;&lt;ID&gt;37&lt;/ID&gt;&lt;UID&gt;{DE6DF6F1-6FB6-4087-A953-C743CADE5AA0}&lt;/UID&gt;&lt;Title&gt;中国紧密型城市医疗集团建设：典型模式、关键问题与路径优化&lt;/Title&gt;&lt;Template&gt;Journal Article&lt;/Template&gt;&lt;Star&gt;0&lt;/Star&gt;&lt;Tag&gt;0&lt;/Tag&gt;&lt;Author&gt;谭华伟; 彭馨怡; 姚辉; 等&lt;/Author&gt;&lt;Year&gt;2024&lt;/Year&gt;&lt;Details&gt;&lt;_alternate_title&gt;中国卫生政策研究&lt;/_alternate_title&gt;&lt;_date_display&gt;2024&lt;/_date_display&gt;&lt;_date&gt;2024-01-01&lt;/_date&gt;&lt;_doi&gt;CNKI:SUN:ZGWZ.0.2024-01-003&lt;/_doi&gt;&lt;_issue&gt;01&lt;/_issue&gt;&lt;_journal&gt;中国卫生政策研究&lt;/_journal&gt;&lt;_pages&gt;9-16&lt;/_pages&gt;&lt;_url&gt;(如有在线链接可补)&lt;/_url&gt;&lt;_volume&gt;17&lt;/_volume&gt;&lt;_created&gt;66152574&lt;/_created&gt;&lt;_modified&gt;66152574&lt;/_modified&gt;&lt;_collection_scope&gt;PKU;CSCD&lt;/_collection_scope&gt;&lt;_translated_author&gt;Tan, Hua wei;Peng, Xin yi;Yao, Hui;Deng&lt;/_translated_author&gt;&lt;/Details&gt;&lt;Extra&gt;&lt;DBUID&gt;{61C24443-8F82-4FB0-AC72-0FD1094AC3B1}&lt;/DBUID&gt;&lt;/Extra&gt;&lt;/Item&gt;&lt;/References&gt;&lt;/Group&gt;&lt;/Citation&gt;_x000a_"/>
    <w:docVar w:name="NE.Ref{8A63617B-19E7-4FB9-B61D-6DF53793E102}" w:val=" ADDIN NE.Ref.{8A63617B-19E7-4FB9-B61D-6DF53793E102}&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8D09B9D1-DF8B-4841-950B-7A5855DB0803}" w:val=" ADDIN NE.Ref.{8D09B9D1-DF8B-4841-950B-7A5855DB080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93B97396-E580-45DA-A0FC-426380AB7254}" w:val=" ADDIN NE.Ref.{93B97396-E580-45DA-A0FC-426380AB7254}&lt;Citation&gt;&lt;Group&gt;&lt;References&gt;&lt;Item&gt;&lt;ID&gt;18&lt;/ID&gt;&lt;UID&gt;{B2015CE5-9B32-4B58-B65A-ABFB79B569DE}&lt;/UID&gt;&lt;Title&gt;Comparative Effectiveness of Interventions for Stroke Prevention in Atrial Fibrillation: A Network Meta-Analysis&lt;/Title&gt;&lt;Template&gt;Journal Article&lt;/Template&gt;&lt;Star&gt;0&lt;/Star&gt;&lt;Tag&gt;0&lt;/Tag&gt;&lt;Author&gt;Tereshchenko, Larisa G; Henrikson, Charles A; Cigarroa, Joaquin; Steinberg, Jonathan S&lt;/Author&gt;&lt;Year&gt;2016&lt;/Year&gt;&lt;Details&gt;&lt;_alternate_title&gt;Journal of the American Heart Association&lt;/_alternate_title&gt;&lt;_collection_scope&gt;SCIE&lt;/_collection_scope&gt;&lt;_created&gt;66143332&lt;/_created&gt;&lt;_date&gt;2016-01-01&lt;/_date&gt;&lt;_date_display&gt;2016&lt;/_date_display&gt;&lt;_doi&gt;10.1161/JAHA.116.003206&lt;/_doi&gt;&lt;_impact_factor&gt;   5.300&lt;/_impact_factor&gt;&lt;_issue&gt;5&lt;/_issue&gt;&lt;_journal&gt;Journal of the American Heart Association&lt;/_journal&gt;&lt;_modified&gt;66143332&lt;/_modified&gt;&lt;_pages&gt;e003206&lt;/_pages&gt;&lt;_social_category&gt;心脏和心血管系统(2)&lt;/_social_category&gt;&lt;_url&gt;https://pubmed.ncbi.nlm.nih.gov/27207998/&lt;/_url&gt;&lt;_volume&gt;5&lt;/_volume&gt;&lt;/Details&gt;&lt;Extra&gt;&lt;DBUID&gt;{61C24443-8F82-4FB0-AC72-0FD1094AC3B1}&lt;/DBUID&gt;&lt;/Extra&gt;&lt;/Item&gt;&lt;/References&gt;&lt;/Group&gt;&lt;/Citation&gt;_x000a_"/>
    <w:docVar w:name="NE.Ref{97882B52-8D80-4451-88B4-DA67FB7754E1}" w:val=" ADDIN NE.Ref.{97882B52-8D80-4451-88B4-DA67FB7754E1}&lt;Citation&gt;&lt;Group&gt;&lt;References&gt;&lt;Item&gt;&lt;ID&gt;27&lt;/ID&gt;&lt;UID&gt;{7A52B62F-A049-4E25-BB7A-85E847168DF8}&lt;/UID&gt;&lt;Title&gt;2024 ESC Guidelines for the management of atrial fibrillation developed in collaboration with the European Association for Cardio-Thoracic Surgery (EACTS)&lt;/Title&gt;&lt;Template&gt;Journal Article&lt;/Template&gt;&lt;Star&gt;0&lt;/Star&gt;&lt;Tag&gt;0&lt;/Tag&gt;&lt;Author&gt;Van Gelder, Isabelle C; Rienstra, Michiel; Bunting, K V; Et, Al.&lt;/Author&gt;&lt;Year&gt;2024&lt;/Year&gt;&lt;Details&gt;&lt;_alternate_title&gt;European Heart Journal&lt;/_alternate_title&gt;&lt;_date_display&gt;2024&lt;/_date_display&gt;&lt;_date&gt;2024-01-01&lt;/_date&gt;&lt;_doi&gt;10.1093/eurheartj/ehae176&lt;/_doi&gt;&lt;_issue&gt;36&lt;/_issue&gt;&lt;_journal&gt;European Heart Journal&lt;/_journal&gt;&lt;_ori_publication&gt;Oxford University Press&lt;/_ori_publication&gt;&lt;_pages&gt;3661-3782&lt;/_pages&gt;&lt;_url&gt;https://doi.org/10.1093/eurheartj/ehae176&lt;/_url&gt;&lt;_volume&gt;45&lt;/_volume&gt;&lt;_created&gt;66152512&lt;/_created&gt;&lt;_modified&gt;66152512&lt;/_modified&gt;&lt;_impact_factor&gt;  35.600&lt;/_impact_factor&gt;&lt;_social_category&gt;心脏和心血管系统(1)&lt;/_social_category&gt;&lt;_collection_scope&gt;SCIE&lt;/_collection_scope&gt;&lt;/Details&gt;&lt;Extra&gt;&lt;DBUID&gt;{61C24443-8F82-4FB0-AC72-0FD1094AC3B1}&lt;/DBUID&gt;&lt;/Extra&gt;&lt;/Item&gt;&lt;/References&gt;&lt;/Group&gt;&lt;/Citation&gt;_x000a_"/>
    <w:docVar w:name="NE.Ref{99FD0ABC-B2DD-4DD0-8443-990C42835E60}" w:val=" ADDIN NE.Ref.{99FD0ABC-B2DD-4DD0-8443-990C42835E60}&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9AC99A0C-B7FC-495E-A2FF-7CB15A10D319}" w:val=" ADDIN NE.Ref.{9AC99A0C-B7FC-495E-A2FF-7CB15A10D319}&lt;Citation&gt;&lt;Group&gt;&lt;References&gt;&lt;Item&gt;&lt;ID&gt;12&lt;/ID&gt;&lt;UID&gt;{230FDCF6-B6EF-4A93-86C3-78D3FE990752}&lt;/UID&gt;&lt;Title&gt;Using health state utility values from the general population to approximate baselines in decision analytic models when condition-specific data are not available&lt;/Title&gt;&lt;Template&gt;Journal Article&lt;/Template&gt;&lt;Star&gt;0&lt;/Star&gt;&lt;Tag&gt;0&lt;/Tag&gt;&lt;Author&gt;Ara, R; Brazier, J E&lt;/Author&gt;&lt;Year&gt;2011&lt;/Year&gt;&lt;Details&gt;&lt;_alternate_title&gt;Value in Health&lt;/_alternate_title&gt;&lt;_collection_scope&gt;SCIE;SSCI&lt;/_collection_scope&gt;&lt;_created&gt;66142925&lt;/_created&gt;&lt;_date&gt;2011-01-01&lt;/_date&gt;&lt;_date_display&gt;2011&lt;/_date_display&gt;&lt;_impact_factor&gt;   6.000&lt;/_impact_factor&gt;&lt;_issue&gt;4&lt;/_issue&gt;&lt;_journal&gt;Value in Health&lt;/_journal&gt;&lt;_keywords&gt;效用值; 健康相关质量; 决策分析模型; 健康经济学&lt;/_keywords&gt;&lt;_modified&gt;66142925&lt;/_modified&gt;&lt;_ori_publication&gt;Elsevier&lt;/_ori_publication&gt;&lt;_pages&gt;539-545&lt;/_pages&gt;&lt;_social_category&gt;经济学(2) &amp;amp; 卫生保健与服务(2) &amp;amp; 卫生政策与服务(2)&lt;/_social_category&gt;&lt;_volume&gt;14&lt;/_volume&gt;&lt;/Details&gt;&lt;Extra&gt;&lt;DBUID&gt;{61C24443-8F82-4FB0-AC72-0FD1094AC3B1}&lt;/DBUID&gt;&lt;/Extra&gt;&lt;/Item&gt;&lt;/References&gt;&lt;/Group&gt;&lt;/Citation&gt;_x000a_"/>
    <w:docVar w:name="NE.Ref{A0441C6C-032B-48A5-9F83-9D35F9343A24}" w:val=" ADDIN NE.Ref.{A0441C6C-032B-48A5-9F83-9D35F9343A24}&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A47E40A0-F5BB-4B0E-AB2C-511C6DCFC681}" w:val=" ADDIN NE.Ref.{A47E40A0-F5BB-4B0E-AB2C-511C6DCFC681}&lt;Citation&gt;&lt;Group&gt;&lt;References&gt;&lt;Item&gt;&lt;ID&gt;21&lt;/ID&gt;&lt;UID&gt;{A85D1AFB-75A9-458E-8CDB-320CD2E839ED}&lt;/UID&gt;&lt;Title&gt;Effect of Long-term Continuous Cardiac Monitoring vs Usual Care on Detection of Atrial Fibrillation in Patients With Stroke Attributed to Large- or Small-Vessel Disease: The STROKE-AF Randomized Clinical Trial&lt;/Title&gt;&lt;Template&gt;Journal Article&lt;/Template&gt;&lt;Star&gt;0&lt;/Star&gt;&lt;Tag&gt;0&lt;/Tag&gt;&lt;Author&gt;Bernstein, Richard A; Kamel, Hooman; Granger, Christopher B; Piccini, Jonathan P; Sethi, Parag P; Katz, Jason M; Vives, Carlos A; Ziegler, Paul D; Franco, Nicole C; Schwamm, Lee H; STROKE-AF, Investigators&lt;/Author&gt;&lt;Year&gt;2021&lt;/Year&gt;&lt;Details&gt;&lt;_alternate_title&gt;JAMA&lt;/_alternate_title&gt;&lt;_collection_scope&gt;SCIE&lt;/_collection_scope&gt;&lt;_created&gt;66143350&lt;/_created&gt;&lt;_date&gt;2021-01-01&lt;/_date&gt;&lt;_date_display&gt;2021&lt;/_date_display&gt;&lt;_doi&gt;10.1001/jama.2021.6470&lt;/_doi&gt;&lt;_impact_factor&gt;  55.000&lt;/_impact_factor&gt;&lt;_issue&gt;21&lt;/_issue&gt;&lt;_journal&gt;JAMA&lt;/_journal&gt;&lt;_modified&gt;66143350&lt;/_modified&gt;&lt;_pages&gt;2169-2177&lt;/_pages&gt;&lt;_social_category&gt;医学：内科(1)&lt;/_social_category&gt;&lt;_url&gt;https://pubmed.ncbi.nlm.nih.gov/34061145/_x000d__x000a_PMID - 34061145_x000d__x000a_PMCID - PMC8170544&lt;/_url&gt;&lt;_volume&gt;325&lt;/_volume&gt;&lt;/Details&gt;&lt;Extra&gt;&lt;DBUID&gt;{61C24443-8F82-4FB0-AC72-0FD1094AC3B1}&lt;/DBUID&gt;&lt;/Extra&gt;&lt;/Item&gt;&lt;/References&gt;&lt;/Group&gt;&lt;/Citation&gt;_x000a_"/>
    <w:docVar w:name="NE.Ref{A621CD9E-583E-4703-A66A-67447DE3A715}" w:val=" ADDIN NE.Ref.{A621CD9E-583E-4703-A66A-67447DE3A715}&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A9E426C0-AEA2-437C-9769-866FBEFA2300}" w:val=" ADDIN NE.Ref.{A9E426C0-AEA2-437C-9769-866FBEFA2300}&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B1222DFB-5AFA-4A79-9337-147443F96C7D}" w:val=" ADDIN NE.Ref.{B1222DFB-5AFA-4A79-9337-147443F96C7D}&lt;Citation&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Ref{B23EE6DB-155D-43B9-A16E-19D291F2428B}" w:val=" ADDIN NE.Ref.{B23EE6DB-155D-43B9-A16E-19D291F2428B}&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05F63C2-79FC-40EF-8C8F-26D8DC68ECD5}" w:val=" ADDIN NE.Ref.{C05F63C2-79FC-40EF-8C8F-26D8DC68ECD5}&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4CD18E6-EAE7-4E90-8A50-8B6F958F5C55}" w:val=" ADDIN NE.Ref.{C4CD18E6-EAE7-4E90-8A50-8B6F958F5C55}&lt;Citation&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C75835A3-ABC7-4316-A212-21020A9D4369}" w:val=" ADDIN NE.Ref.{C75835A3-ABC7-4316-A212-21020A9D4369}&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CE3300E8-F089-4CAC-86A0-5EA6830DD646}" w:val=" ADDIN NE.Ref.{CE3300E8-F089-4CAC-86A0-5EA6830DD646}&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B0C574E-BE0A-4D22-AA6E-865DCC81AC63}" w:val=" ADDIN NE.Ref.{DB0C574E-BE0A-4D22-AA6E-865DCC81AC63}&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E07EBAC-D943-458D-85D1-A9290D080161}" w:val=" ADDIN NE.Ref.{DE07EBAC-D943-458D-85D1-A9290D080161}&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DF03F161-D951-4C01-84A0-4AD49F3CEE00}" w:val=" ADDIN NE.Ref.{DF03F161-D951-4C01-84A0-4AD49F3CEE00}&lt;Citation&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E0BAED6B-2E03-4D0D-A9B9-1A2DA1BA5462}" w:val=" ADDIN NE.Ref.{E0BAED6B-2E03-4D0D-A9B9-1A2DA1BA5462}&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9&lt;/ID&gt;&lt;UID&gt;{E3CA70E1-A7BD-4A1F-88F5-3A953D3A0310}&lt;/UID&gt;&lt;Title&gt;Atrial fibrillation as an independent risk factor for stroke: the Framingham Study&lt;/Title&gt;&lt;Template&gt;Journal Article&lt;/Template&gt;&lt;Star&gt;0&lt;/Star&gt;&lt;Tag&gt;0&lt;/Tag&gt;&lt;Author&gt;Wolf, P A; Abbott, R D; Kannel, W B&lt;/Author&gt;&lt;Year&gt;1991&lt;/Year&gt;&lt;Details&gt;&lt;_alternate_title&gt;Stroke&lt;/_alternate_title&gt;&lt;_collection_scope&gt;SCIE&lt;/_collection_scope&gt;&lt;_created&gt;66142885&lt;/_created&gt;&lt;_date&gt;1991-01-01&lt;/_date&gt;&lt;_date_display&gt;1991&lt;/_date_display&gt;&lt;_impact_factor&gt;   8.900&lt;/_impact_factor&gt;&lt;_issue&gt;8&lt;/_issue&gt;&lt;_journal&gt;Stroke&lt;/_journal&gt;&lt;_keywords&gt;房颤; 卒中; 流行病学&lt;/_keywords&gt;&lt;_modified&gt;66142885&lt;/_modified&gt;&lt;_ori_publication&gt;American Heart Association&lt;/_ori_publication&gt;&lt;_pages&gt;983-988&lt;/_pages&gt;&lt;_social_category&gt;临床神经病学(1) &amp;amp; 外周血管病(1)&lt;/_social_category&gt;&lt;_volume&gt;22&lt;/_volume&gt;&lt;/Details&gt;&lt;Extra&gt;&lt;DBUID&gt;{61C24443-8F82-4FB0-AC72-0FD1094AC3B1}&lt;/DBUID&gt;&lt;/Extra&gt;&lt;/Item&gt;&lt;/References&gt;&lt;/Group&gt;&lt;/Citation&gt;_x000a_"/>
    <w:docVar w:name="NE.Ref{E8144906-55A5-449C-B0F8-BF407C56427E}" w:val=" ADDIN NE.Ref.{E8144906-55A5-449C-B0F8-BF407C56427E}&lt;Citation&gt;&lt;Group&gt;&lt;References&gt;&lt;Item&gt;&lt;ID&gt;28&lt;/ID&gt;&lt;UID&gt;{647423C6-4C3B-4712-8C46-10CB4CC7FC37}&lt;/UID&gt;&lt;Title&gt;Screening for Atrial Fibrillation With Electrocardiography: US Preventive Services Task Force Recommendation Statement&lt;/Title&gt;&lt;Template&gt;Journal Article&lt;/Template&gt;&lt;Star&gt;0&lt;/Star&gt;&lt;Tag&gt;0&lt;/Tag&gt;&lt;Author&gt;US, Preventive Services Task Force; Curry, Susan J; Krist, Alex H; Et, Al.&lt;/Author&gt;&lt;Year&gt;2018&lt;/Year&gt;&lt;Details&gt;&lt;_alternate_title&gt;JAMA&lt;/_alternate_title&gt;&lt;_date_display&gt;2018&lt;/_date_display&gt;&lt;_date&gt;2018-01-01&lt;/_date&gt;&lt;_doi&gt;10.1001/jama.2018.10321&lt;/_doi&gt;&lt;_issue&gt;5&lt;/_issue&gt;&lt;_journal&gt;JAMA&lt;/_journal&gt;&lt;_pages&gt;478-484&lt;/_pages&gt;&lt;_url&gt;https://pubmed.ncbi.nlm.nih.gov/30088016/_x000d__x000a_PMID - 30088016&lt;/_url&gt;&lt;_volume&gt;320&lt;/_volume&gt;&lt;_created&gt;66152516&lt;/_created&gt;&lt;_modified&gt;66152516&lt;/_modified&gt;&lt;_impact_factor&gt;  55.000&lt;/_impact_factor&gt;&lt;_social_category&gt;医学：内科(1)&lt;/_social_category&gt;&lt;_collection_scope&gt;SCIE&lt;/_collection_scope&gt;&lt;/Details&gt;&lt;Extra&gt;&lt;DBUID&gt;{61C24443-8F82-4FB0-AC72-0FD1094AC3B1}&lt;/DBUID&gt;&lt;/Extra&gt;&lt;/Item&gt;&lt;/References&gt;&lt;/Group&gt;&lt;/Citation&gt;_x000a_"/>
    <w:docVar w:name="NE.Ref{EB156401-DD1F-4A21-A5D5-B27F04434121}" w:val=" ADDIN NE.Ref.{EB156401-DD1F-4A21-A5D5-B27F04434121}&lt;Citation&gt;&lt;Group&gt;&lt;References&gt;&lt;Item&gt;&lt;ID&gt;26&lt;/ID&gt;&lt;UID&gt;{F429773B-C1BF-4C21-B78A-2CC821D66B13}&lt;/UID&gt;&lt;Title&gt;心房颤动诊断和治疗中国指南&lt;/Title&gt;&lt;Template&gt;Journal Article&lt;/Template&gt;&lt;Star&gt;0&lt;/Star&gt;&lt;Tag&gt;0&lt;/Tag&gt;&lt;Author&gt;中华医学会心血管病学分会; 中国生物医学工程学会心律分会&lt;/Author&gt;&lt;Year&gt;2023&lt;/Year&gt;&lt;Details&gt;&lt;_alternate_title&gt;中华心血管病杂志&lt;/_alternate_title&gt;&lt;_date_display&gt;2023&lt;/_date_display&gt;&lt;_date&gt;2023-01-01&lt;/_date&gt;&lt;_doi&gt;10.3760/cma.j.cn112148-20230416-00221&lt;/_doi&gt;&lt;_issue&gt;6&lt;/_issue&gt;&lt;_journal&gt;中华心血管病杂志&lt;/_journal&gt;&lt;_ori_publication&gt;中华医学会&lt;/_ori_publication&gt;&lt;_pages&gt;572-618&lt;/_pages&gt;&lt;_url&gt;https://doi.org/10.3760/cma.j.cn112148-20230416-00221&lt;/_url&gt;&lt;_volume&gt;51&lt;/_volume&gt;&lt;_created&gt;66152508&lt;/_created&gt;&lt;_modified&gt;66152508&lt;/_modified&gt;&lt;_collection_scope&gt;PKU;CSCD&lt;/_collection_scope&gt;&lt;_translated_author&gt;Zhong, Hua yi xue hui;Zhong, Guo sheng wu yi&lt;/_translated_author&gt;&lt;/Details&gt;&lt;Extra&gt;&lt;DBUID&gt;{61C24443-8F82-4FB0-AC72-0FD1094AC3B1}&lt;/DBUID&gt;&lt;/Extra&gt;&lt;/Item&gt;&lt;/References&gt;&lt;/Group&gt;&lt;/Citation&gt;_x000a_"/>
    <w:docVar w:name="NE.Ref{F06107DA-AAC4-4EF8-99F6-FAD52C39ADD2}" w:val=" ADDIN NE.Ref.{F06107DA-AAC4-4EF8-99F6-FAD52C39ADD2}&lt;Citation&gt;&lt;Group&gt;&lt;References&gt;&lt;Item&gt;&lt;ID&gt;49&lt;/ID&gt;&lt;UID&gt;{CBB4832F-E854-40FC-BECB-0584831DDE92}&lt;/UID&gt;&lt;Title&gt;Effect of Adherence to Oral Anticoagulants on Risk of Stroke and Major Bleeding Among Patients With Atrial Fibrillation&lt;/Title&gt;&lt;Template&gt;Journal Article&lt;/Template&gt;&lt;Star&gt;0&lt;/Star&gt;&lt;Tag&gt;0&lt;/Tag&gt;&lt;Author&gt;Yao, Xiaoxi; Abraham, Neena S; Alexander, G Caleb; Crown, William; Montori, Victor M; Sangaralingham, Lindsey R; Gersh, Bernard J; Shah, Nilay D; Noseworthy, Peter A&lt;/Author&gt;&lt;Year&gt;2016&lt;/Year&gt;&lt;Details&gt;&lt;_alternate_title&gt;Journal of the American Heart Association&lt;/_alternate_title&gt;&lt;_date_display&gt;2016&lt;/_date_display&gt;&lt;_date&gt;2016-01-01&lt;/_date&gt;&lt;_doi&gt;10.1161/JAHA.115.003074&lt;/_doi&gt;&lt;_issue&gt;2&lt;/_issue&gt;&lt;_journal&gt;Journal of the American Heart Association&lt;/_journal&gt;&lt;_pages&gt;e003074&lt;/_pages&gt;&lt;_url&gt;https://www.ahajournals.org/doi/10.1161/JAHA.115.003074_x000d__x000a_PMID  - 26908412_x000d__x000a_PMCID - PMC4802483&lt;/_url&gt;&lt;_volume&gt;5&lt;/_volume&gt;&lt;_created&gt;66152715&lt;/_created&gt;&lt;_modified&gt;66152715&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FFF85C4A-0D53-476A-AD3A-43CE3D825227}" w:val=" ADDIN NE.Ref.{FFF85C4A-0D53-476A-AD3A-43CE3D825227}&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_docsoft" w:val="MSWord"/>
    <w:docVar w:name="ne_docversion" w:val="NoteExpress 2.0"/>
    <w:docVar w:name="ne_stylename" w:val="中华人民共和国国家标准_GBT_7714-2005"/>
  </w:docVars>
  <w:rsids>
    <w:rsidRoot w:val="00172A27"/>
    <w:rsid w:val="00034616"/>
    <w:rsid w:val="0006063C"/>
    <w:rsid w:val="0015074B"/>
    <w:rsid w:val="0029639D"/>
    <w:rsid w:val="00326F90"/>
    <w:rsid w:val="00AA1D8D"/>
    <w:rsid w:val="00B47730"/>
    <w:rsid w:val="00CB0664"/>
    <w:rsid w:val="00FC693F"/>
    <w:rsid w:val="01DE1773"/>
    <w:rsid w:val="01FA65AD"/>
    <w:rsid w:val="027619AC"/>
    <w:rsid w:val="04A87696"/>
    <w:rsid w:val="052F1CE2"/>
    <w:rsid w:val="05581271"/>
    <w:rsid w:val="06873CC0"/>
    <w:rsid w:val="07F77BC7"/>
    <w:rsid w:val="08484784"/>
    <w:rsid w:val="085E7A6C"/>
    <w:rsid w:val="08A6123D"/>
    <w:rsid w:val="09A30234"/>
    <w:rsid w:val="09B87227"/>
    <w:rsid w:val="0DB0780B"/>
    <w:rsid w:val="0ED84277"/>
    <w:rsid w:val="0F5372FC"/>
    <w:rsid w:val="10E53F7F"/>
    <w:rsid w:val="1217328C"/>
    <w:rsid w:val="12263BEA"/>
    <w:rsid w:val="12325EF0"/>
    <w:rsid w:val="14D56A06"/>
    <w:rsid w:val="15A85EC8"/>
    <w:rsid w:val="17017E9F"/>
    <w:rsid w:val="172123D6"/>
    <w:rsid w:val="17435EA8"/>
    <w:rsid w:val="180C1D91"/>
    <w:rsid w:val="187F1162"/>
    <w:rsid w:val="1BF6706B"/>
    <w:rsid w:val="1C0E117B"/>
    <w:rsid w:val="1CFA16FF"/>
    <w:rsid w:val="1FC528ED"/>
    <w:rsid w:val="220A5F40"/>
    <w:rsid w:val="243610AD"/>
    <w:rsid w:val="24C3687B"/>
    <w:rsid w:val="25F31953"/>
    <w:rsid w:val="26EF3957"/>
    <w:rsid w:val="26F927DC"/>
    <w:rsid w:val="284B3726"/>
    <w:rsid w:val="284D4E05"/>
    <w:rsid w:val="28BF3AB9"/>
    <w:rsid w:val="2B795EE5"/>
    <w:rsid w:val="2B8C00F2"/>
    <w:rsid w:val="2BF0422D"/>
    <w:rsid w:val="2E280E0C"/>
    <w:rsid w:val="2E913546"/>
    <w:rsid w:val="2F402B43"/>
    <w:rsid w:val="2FBD4D85"/>
    <w:rsid w:val="3187518C"/>
    <w:rsid w:val="31FB73D4"/>
    <w:rsid w:val="32425283"/>
    <w:rsid w:val="32E929A3"/>
    <w:rsid w:val="33A40DC1"/>
    <w:rsid w:val="33BE5F7E"/>
    <w:rsid w:val="35CC1DE8"/>
    <w:rsid w:val="3685375F"/>
    <w:rsid w:val="36B83D65"/>
    <w:rsid w:val="36E570EF"/>
    <w:rsid w:val="3AFB3353"/>
    <w:rsid w:val="3B8F5FC8"/>
    <w:rsid w:val="3EC75F10"/>
    <w:rsid w:val="41BD1575"/>
    <w:rsid w:val="43A97591"/>
    <w:rsid w:val="45693CEF"/>
    <w:rsid w:val="459375F7"/>
    <w:rsid w:val="47167B79"/>
    <w:rsid w:val="477F61D9"/>
    <w:rsid w:val="47CA56A6"/>
    <w:rsid w:val="47F72214"/>
    <w:rsid w:val="49177011"/>
    <w:rsid w:val="4BB41A6E"/>
    <w:rsid w:val="4C0A0BDA"/>
    <w:rsid w:val="4C577725"/>
    <w:rsid w:val="4C60482B"/>
    <w:rsid w:val="4CA010CC"/>
    <w:rsid w:val="4E5403C0"/>
    <w:rsid w:val="4F4E4E0F"/>
    <w:rsid w:val="503D4622"/>
    <w:rsid w:val="525C3CE7"/>
    <w:rsid w:val="54CC05A4"/>
    <w:rsid w:val="55003C35"/>
    <w:rsid w:val="551D53CF"/>
    <w:rsid w:val="55A0038E"/>
    <w:rsid w:val="56436613"/>
    <w:rsid w:val="57C93BCD"/>
    <w:rsid w:val="588B70D4"/>
    <w:rsid w:val="5967369D"/>
    <w:rsid w:val="5A0846CC"/>
    <w:rsid w:val="5AC2496E"/>
    <w:rsid w:val="5C644C04"/>
    <w:rsid w:val="5D1F603D"/>
    <w:rsid w:val="5DF86855"/>
    <w:rsid w:val="5E205D7E"/>
    <w:rsid w:val="5F267FBC"/>
    <w:rsid w:val="5F3F6171"/>
    <w:rsid w:val="5FB31312"/>
    <w:rsid w:val="60560C43"/>
    <w:rsid w:val="60C75DD6"/>
    <w:rsid w:val="60E47FC0"/>
    <w:rsid w:val="61BC558C"/>
    <w:rsid w:val="61D35BF6"/>
    <w:rsid w:val="624B3430"/>
    <w:rsid w:val="63251A75"/>
    <w:rsid w:val="63F84798"/>
    <w:rsid w:val="646D34E5"/>
    <w:rsid w:val="680763AA"/>
    <w:rsid w:val="69216B77"/>
    <w:rsid w:val="69BB46DB"/>
    <w:rsid w:val="69E85CEB"/>
    <w:rsid w:val="6A627569"/>
    <w:rsid w:val="6B361121"/>
    <w:rsid w:val="6C5E3DB5"/>
    <w:rsid w:val="6C8F4BEB"/>
    <w:rsid w:val="6DC73E15"/>
    <w:rsid w:val="6E0C37A3"/>
    <w:rsid w:val="6E3851B0"/>
    <w:rsid w:val="6F4B43B2"/>
    <w:rsid w:val="70393F4B"/>
    <w:rsid w:val="703B0DCB"/>
    <w:rsid w:val="708B7819"/>
    <w:rsid w:val="71094BE2"/>
    <w:rsid w:val="739904E4"/>
    <w:rsid w:val="75524DAA"/>
    <w:rsid w:val="77016C3D"/>
    <w:rsid w:val="7AC35E02"/>
    <w:rsid w:val="7AEE7323"/>
    <w:rsid w:val="7E07654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qFormat/>
    <w:uiPriority w:val="0"/>
    <w:pPr>
      <w:jc w:val="left"/>
    </w:pPr>
  </w:style>
  <w:style w:type="paragraph" w:styleId="18">
    <w:name w:val="Body Text 3"/>
    <w:basedOn w:val="1"/>
    <w:link w:val="149"/>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8"/>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styleId="137">
    <w:name w:val="Hyperlink"/>
    <w:basedOn w:val="134"/>
    <w:semiHidden/>
    <w:unhideWhenUsed/>
    <w:qFormat/>
    <w:uiPriority w:val="99"/>
    <w:rPr>
      <w:color w:val="0000FF"/>
      <w:u w:val="single"/>
    </w:rPr>
  </w:style>
  <w:style w:type="character" w:customStyle="1" w:styleId="138">
    <w:name w:val="Header Char"/>
    <w:basedOn w:val="134"/>
    <w:link w:val="26"/>
    <w:qFormat/>
    <w:uiPriority w:val="99"/>
  </w:style>
  <w:style w:type="character" w:customStyle="1" w:styleId="139">
    <w:name w:val="Footer Char"/>
    <w:basedOn w:val="134"/>
    <w:link w:val="25"/>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4"/>
    <w:link w:val="20"/>
    <w:qFormat/>
    <w:uiPriority w:val="99"/>
  </w:style>
  <w:style w:type="character" w:customStyle="1" w:styleId="148">
    <w:name w:val="Body Text 2 Char"/>
    <w:basedOn w:val="134"/>
    <w:link w:val="29"/>
    <w:qFormat/>
    <w:uiPriority w:val="99"/>
  </w:style>
  <w:style w:type="character" w:customStyle="1" w:styleId="149">
    <w:name w:val="Body Text 3 Char"/>
    <w:basedOn w:val="134"/>
    <w:link w:val="18"/>
    <w:qFormat/>
    <w:uiPriority w:val="99"/>
    <w:rPr>
      <w:sz w:val="16"/>
      <w:szCs w:val="16"/>
    </w:rPr>
  </w:style>
  <w:style w:type="character" w:customStyle="1" w:styleId="150">
    <w:name w:val="Macro Text Char"/>
    <w:basedOn w:val="134"/>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4"/>
    <w:link w:val="151"/>
    <w:qFormat/>
    <w:uiPriority w:val="29"/>
    <w:rPr>
      <w:i/>
      <w:iCs/>
      <w:color w:val="000000" w:themeColor="text1"/>
      <w14:textFill>
        <w14:solidFill>
          <w14:schemeClr w14:val="tx1"/>
        </w14:solidFill>
      </w14:textFill>
    </w:rPr>
  </w:style>
  <w:style w:type="character" w:customStyle="1" w:styleId="153">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4"/>
    <w:link w:val="159"/>
    <w:qFormat/>
    <w:uiPriority w:val="30"/>
    <w:rPr>
      <w:b/>
      <w:bCs/>
      <w:i/>
      <w:iCs/>
      <w:color w:val="4F81BD" w:themeColor="accent1"/>
      <w14:textFill>
        <w14:solidFill>
          <w14:schemeClr w14:val="accent1"/>
        </w14:solidFill>
      </w14:textFill>
    </w:rPr>
  </w:style>
  <w:style w:type="character" w:customStyle="1" w:styleId="161">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4"/>
    <w:qFormat/>
    <w:uiPriority w:val="21"/>
    <w:rPr>
      <w:b/>
      <w:bCs/>
      <w:i/>
      <w:iCs/>
      <w:color w:val="4F81BD" w:themeColor="accent1"/>
      <w14:textFill>
        <w14:solidFill>
          <w14:schemeClr w14:val="accent1"/>
        </w14:solidFill>
      </w14:textFill>
    </w:rPr>
  </w:style>
  <w:style w:type="character" w:customStyle="1" w:styleId="163">
    <w:name w:val="Subtle Reference"/>
    <w:basedOn w:val="134"/>
    <w:qFormat/>
    <w:uiPriority w:val="31"/>
    <w:rPr>
      <w:smallCaps/>
      <w:color w:val="C0504D" w:themeColor="accent2"/>
      <w:u w:val="single"/>
      <w14:textFill>
        <w14:solidFill>
          <w14:schemeClr w14:val="accent2"/>
        </w14:solidFill>
      </w14:textFill>
    </w:rPr>
  </w:style>
  <w:style w:type="character" w:customStyle="1" w:styleId="164">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4"/>
    <w:qFormat/>
    <w:uiPriority w:val="33"/>
    <w:rPr>
      <w:b/>
      <w:bCs/>
      <w:smallCaps/>
      <w:spacing w:val="5"/>
    </w:rPr>
  </w:style>
  <w:style w:type="paragraph" w:customStyle="1" w:styleId="166">
    <w:name w:val="TOC Heading"/>
    <w:basedOn w:val="3"/>
    <w:next w:val="1"/>
    <w:semiHidden/>
    <w:unhideWhenUsed/>
    <w:qFormat/>
    <w:uiPriority w:val="39"/>
    <w:pPr>
      <w:outlineLvl w:val="9"/>
    </w:pPr>
  </w:style>
  <w:style w:type="character" w:customStyle="1" w:styleId="167">
    <w:name w:val="font11"/>
    <w:basedOn w:val="134"/>
    <w:qFormat/>
    <w:uiPriority w:val="0"/>
    <w:rPr>
      <w:rFonts w:hint="eastAsia" w:ascii="宋体" w:hAnsi="宋体" w:eastAsia="宋体" w:cs="宋体"/>
      <w:color w:val="000000"/>
      <w:sz w:val="22"/>
      <w:szCs w:val="22"/>
      <w:u w:val="none"/>
    </w:rPr>
  </w:style>
  <w:style w:type="character" w:customStyle="1" w:styleId="168">
    <w:name w:val="font01"/>
    <w:basedOn w:val="13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74f62c9d-7d89-4f34-a992-5cdff218f7a0</errorID>
      <errorWord>:</errorWord>
      <group>L1_Format</group>
      <groupName>格式问题</groupName>
      <ability>L2_HalfPunc</ability>
      <abilityName>全半角检查</abilityName>
      <candidateList>
        <item>：</item>
      </candidateList>
      <explain>文本全半角错误。</explain>
      <paraID>230C58E0</paraID>
      <start>4</start>
      <end>5</end>
      <status>unmodified</status>
      <modifiedWord/>
      <trackRevisions>false</trackRevisions>
    </reviewItem>
    <reviewItem>
      <errorID>e255ea68-a17f-43b3-b58b-d9e3d8039178</errorID>
      <errorWord>：</errorWord>
      <group>L1_Format</group>
      <groupName>格式问题</groupName>
      <ability>L2_HalfPunc</ability>
      <abilityName>全半角检查</abilityName>
      <candidateList>
        <item>:</item>
      </candidateList>
      <explain>文本全半角错误。</explain>
      <paraID>18B46AB3</paraID>
      <start>10</start>
      <end>11</end>
      <status>unmodified</status>
      <modifiedWord/>
      <trackRevisions>false</trackRevisions>
    </reviewItem>
    <reviewItem>
      <errorID>1090d391-d713-4a68-b479-80c80541cb69</errorID>
      <errorWord>，</errorWord>
      <group>L1_Format</group>
      <groupName>格式问题</groupName>
      <ability>L2_HalfPunc</ability>
      <abilityName>全半角检查</abilityName>
      <candidateList>
        <item>, </item>
      </candidateList>
      <explain>文本全半角错误。</explain>
      <paraID>37D6EC30</paraID>
      <start>10</start>
      <end>11</end>
      <status>unmodified</status>
      <modifiedWord/>
      <trackRevisions>false</trackRevisions>
    </reviewItem>
    <reviewItem>
      <errorID>8c84159c-bb6c-429b-8bad-a3d2ac08bf6a</errorID>
      <errorWord>，</errorWord>
      <group>L1_Format</group>
      <groupName>格式问题</groupName>
      <ability>L2_HalfPunc</ability>
      <abilityName>全半角检查</abilityName>
      <candidateList>
        <item>, </item>
      </candidateList>
      <explain>文本全半角错误。</explain>
      <paraID>37D6EC30</paraID>
      <start>22</start>
      <end>23</end>
      <status>unmodified</status>
      <modifiedWord/>
      <trackRevisions>false</trackRevisions>
    </reviewItem>
    <reviewItem>
      <errorID>badf8de6-760f-4d31-9e86-ed02d3f2aba6</errorID>
      <errorWord>，</errorWord>
      <group>L1_Format</group>
      <groupName>格式问题</groupName>
      <ability>L2_HalfPunc</ability>
      <abilityName>全半角检查</abilityName>
      <candidateList>
        <item>, </item>
      </candidateList>
      <explain>文本全半角错误。</explain>
      <paraID>37D6EC30</paraID>
      <start>32</start>
      <end>33</end>
      <status>unmodified</status>
      <modifiedWord/>
      <trackRevisions>false</trackRevisions>
    </reviewItem>
    <reviewItem>
      <errorID>4a95db9f-3839-4c03-af77-c113f24ebf36</errorID>
      <errorWord>，</errorWord>
      <group>L1_Format</group>
      <groupName>格式问题</groupName>
      <ability>L2_HalfPunc</ability>
      <abilityName>全半角检查</abilityName>
      <candidateList>
        <item>, </item>
      </candidateList>
      <explain>文本全半角错误。</explain>
      <paraID>37D6EC30</paraID>
      <start>47</start>
      <end>48</end>
      <status>unmodified</status>
      <modifiedWord/>
      <trackRevisions>false</trackRevisions>
    </reviewItem>
    <reviewItem>
      <errorID>a92997fc-ab3c-479b-a485-1c627c48b5d5</errorID>
      <errorWord>，</errorWord>
      <group>L1_Format</group>
      <groupName>格式问题</groupName>
      <ability>L2_HalfPunc</ability>
      <abilityName>全半角检查</abilityName>
      <candidateList>
        <item>, </item>
      </candidateList>
      <explain>文本全半角错误。</explain>
      <paraID>37D6EC30</paraID>
      <start>56</start>
      <end>57</end>
      <status>unmodified</status>
      <modifiedWord/>
      <trackRevisions>false</trackRevisions>
    </reviewItem>
    <reviewItem>
      <errorID>d3a96cde-2a9d-4e07-9210-e23d7f0b91fe</errorID>
      <errorWord>，</errorWord>
      <group>L1_Format</group>
      <groupName>格式问题</groupName>
      <ability>L2_HalfPunc</ability>
      <abilityName>全半角检查</abilityName>
      <candidateList>
        <item>, </item>
      </candidateList>
      <explain>文本全半角错误。</explain>
      <paraID>37D6EC30</paraID>
      <start>70</start>
      <end>71</end>
      <status>unmodified</status>
      <modifiedWord/>
      <trackRevisions>false</trackRevisions>
    </reviewItem>
    <reviewItem>
      <errorID>70bfb60c-4b76-418c-ba8d-76ddac39f849</errorID>
      <errorWord>，</errorWord>
      <group>L1_Format</group>
      <groupName>格式问题</groupName>
      <ability>L2_HalfPunc</ability>
      <abilityName>全半角检查</abilityName>
      <candidateList>
        <item>, </item>
      </candidateList>
      <explain>文本全半角错误。</explain>
      <paraID>37D6EC30</paraID>
      <start>87</start>
      <end>88</end>
      <status>unmodified</status>
      <modifiedWord/>
      <trackRevisions>false</trackRevisions>
    </reviewItem>
    <reviewItem>
      <errorID>1a54aacc-a02e-41a7-a6d6-4a7b91a7db7a</errorID>
      <errorWord>的的</errorWord>
      <group>L1_Word</group>
      <groupName>字词问题</groupName>
      <ability>L2_Typo</ability>
      <abilityName>字词错误</abilityName>
      <candidateList>
        <item>的</item>
      </candidateList>
      <explain>“的”常用于连接修饰语与名词性中心语，表示属性、所属或描述。</explain>
      <paraID>3E76B728</paraID>
      <start>360</start>
      <end>362</end>
      <status>unmodified</status>
      <modifiedWord/>
      <trackRevisions>false</trackRevisions>
    </reviewItem>
    <reviewItem>
      <errorID>05de9012-d7ec-4af9-a9a9-1e5a43a2dbba</errorID>
      <errorWord>目标值率</errorWord>
      <group>L1_Word</group>
      <groupName>字词问题</groupName>
      <ability>L2_Typo</ability>
      <abilityName>字词错误</abilityName>
      <candidateList>
        <item>目标值</item>
      </candidateList>
      <explain/>
      <paraID>3E76B728</paraID>
      <start>423</start>
      <end>427</end>
      <status>unmodified</status>
      <modifiedWord/>
      <trackRevisions>false</trackRevisions>
    </reviewItem>
    <reviewItem>
      <errorID>fc67ab01-85e3-4e1b-9053-b45cfc962144</errorID>
      <errorWord>以以下</errorWord>
      <group>L1_Word</group>
      <groupName>字词问题</groupName>
      <ability>L2_Typo</ability>
      <abilityName>字词错误</abilityName>
      <candidateList>
        <item>以下</item>
      </candidateList>
      <explain/>
      <paraID>3E76B728</paraID>
      <start>457</start>
      <end>460</end>
      <status>unmodified</status>
      <modifiedWord/>
      <trackRevisions>false</trackRevisions>
    </reviewItem>
    <reviewItem>
      <errorID>d870a9fd-9e80-48d6-a3b7-2cc7fd9e876c</errorID>
      <errorWord>)</errorWord>
      <group>L1_Format</group>
      <groupName>格式问题</groupName>
      <ability>L2_HalfPunc</ability>
      <abilityName>全半角检查</abilityName>
      <candidateList>
        <item>）</item>
      </candidateList>
      <explain>文本全半角错误。</explain>
      <paraID>3E76B728</paraID>
      <start>495</start>
      <end>496</end>
      <status>unmodified</status>
      <modifiedWord/>
      <trackRevisions>false</trackRevisions>
    </reviewItem>
    <reviewItem>
      <errorID>f27cdd55-b26b-4f95-a3a3-0d52a9f299ba</errorID>
      <errorWord>(</errorWord>
      <group>L1_Format</group>
      <groupName>格式问题</groupName>
      <ability>L2_HalfPunc</ability>
      <abilityName>全半角检查</abilityName>
      <candidateList>
        <item>（</item>
      </candidateList>
      <explain>文本全半角错误。</explain>
      <paraID>3E76B728</paraID>
      <start>530</start>
      <end>531</end>
      <status>unmodified</status>
      <modifiedWord/>
      <trackRevisions>false</trackRevisions>
    </reviewItem>
    <reviewItem>
      <errorID>6441ab4d-bb46-4094-80b5-ab6d4ea7048c</errorID>
      <errorWord>(</errorWord>
      <group>L1_Punc</group>
      <groupName>标点问题</groupName>
      <ability>L2_Punc</ability>
      <abilityName>标点符号检查</abilityName>
      <candidateList/>
      <explain>同一形式括号套用。</explain>
      <paraID>3E76B728</paraID>
      <start>535</start>
      <end>536</end>
      <status>unmodified</status>
      <modifiedWord/>
      <trackRevisions>false</trackRevisions>
    </reviewItem>
    <reviewItem>
      <errorID>3e8d179a-dc1b-4898-a709-6f6f0ee436fa</errorID>
      <errorWord>)</errorWord>
      <group>L1_Punc</group>
      <groupName>标点问题</groupName>
      <ability>L2_Punc</ability>
      <abilityName>标点符号检查</abilityName>
      <candidateList/>
      <explain>同一形式括号套用。</explain>
      <paraID>3E76B728</paraID>
      <start>541</start>
      <end>542</end>
      <status>unmodified</status>
      <modifiedWord/>
      <trackRevisions>false</trackRevisions>
    </reviewItem>
    <reviewItem>
      <errorID>f5935aad-f331-43cb-99ab-9a90b724fc47</errorID>
      <errorWord>(</errorWord>
      <group>L1_Format</group>
      <groupName>格式问题</groupName>
      <ability>L2_HalfPunc</ability>
      <abilityName>全半角检查</abilityName>
      <candidateList>
        <item>（</item>
      </candidateList>
      <explain>文本全半角错误。</explain>
      <paraID>3E76B728</paraID>
      <start>546</start>
      <end>547</end>
      <status>unmodified</status>
      <modifiedWord/>
      <trackRevisions>false</trackRevisions>
    </reviewItem>
    <reviewItem>
      <errorID>7aed61cb-0a8e-4593-9c4b-2af69e4db09b</errorID>
      <errorWord>)</errorWord>
      <group>L1_Format</group>
      <groupName>格式问题</groupName>
      <ability>L2_HalfPunc</ability>
      <abilityName>全半角检查</abilityName>
      <candidateList>
        <item>）</item>
      </candidateList>
      <explain>文本全半角错误。</explain>
      <paraID>3E76B728</paraID>
      <start>556</start>
      <end>557</end>
      <status>unmodified</status>
      <modifiedWord/>
      <trackRevisions>false</trackRevisions>
    </reviewItem>
    <reviewItem>
      <errorID>7e6171e6-f6fb-4458-9017-e62f39e082db</errorID>
      <errorWord>出血性脑卒中</errorWord>
      <group>L1_Knowledge</group>
      <groupName>知识性问题</groupName>
      <ability>L2_Term</ability>
      <abilityName>专业术语</abilityName>
      <candidateList>
        <item>缺血性脑卒中</item>
      </candidateList>
      <explain/>
      <paraID>25A01BDA</paraID>
      <start>329</start>
      <end>335</end>
      <status>unmodified</status>
      <modifiedWord/>
      <trackRevisions>false</trackRevisions>
    </reviewItem>
    <reviewItem>
      <errorID>75fda137-ff5c-4f10-9863-99ca9dce909e</errorID>
      <errorWord>0.54%~0.66%</errorWord>
      <group>L1_Knowledge</group>
      <groupName>知识性问题</groupName>
      <ability>L2_Knowledge</ability>
      <abilityName>其他知识</abilityName>
      <candidateList>
        <item>0.54%～0.66%</item>
      </candidateList>
      <explain>1. “0.54%~0.66%”中的单位“%”仅出现在后一个数字上，容易引起歧义；根据《现代汉语标点符号数字用法规范手册》，数字表示范围两边需要使用统一的格式。2. 根据标点国标 4.13 中的规则，数字、时间或地域连接符应使用（视觉上更长的）“—”或“～”。</explain>
      <paraID>27FA8711</paraID>
      <start>0</start>
      <end>12</end>
      <status>unmodified</status>
      <modifiedWord/>
      <trackRevisions>false</trackRevisions>
    </reviewItem>
    <reviewItem>
      <errorID>ad3fdaf2-0f9f-435d-ba4c-fcbc44822b89</errorID>
      <errorWord>1.15%~1.40%</errorWord>
      <group>L1_Knowledge</group>
      <groupName>知识性问题</groupName>
      <ability>L2_Knowledge</ability>
      <abilityName>其他知识</abilityName>
      <candidateList>
        <item>1.15%～1.40%</item>
      </candidateList>
      <explain>1. “1.15%~1.40%”中的单位“%”仅出现在后一个数字上，容易引起歧义；根据《现代汉语标点符号数字用法规范手册》，数字表示范围两边需要使用统一的格式。2. 根据标点国标 4.13 中的规则，数字、时间或地域连接符应使用（视觉上更长的）“—”或“～”。</explain>
      <paraID>251C0946</paraID>
      <start>0</start>
      <end>12</end>
      <status>unmodified</status>
      <modifiedWord/>
      <trackRevisions>false</trackRevisions>
    </reviewItem>
    <reviewItem>
      <errorID>5cfb0e59-0613-446f-8b51-453a2200ecf1</errorID>
      <errorWord>4.05%~4.95%</errorWord>
      <group>L1_Knowledge</group>
      <groupName>知识性问题</groupName>
      <ability>L2_Knowledge</ability>
      <abilityName>其他知识</abilityName>
      <candidateList>
        <item>4.05%～4.95%</item>
      </candidateList>
      <explain>1. “4.05%~4.95%”中的单位“%”仅出现在后一个数字上，容易引起歧义；根据《现代汉语标点符号数字用法规范手册》，数字表示范围两边需要使用统一的格式。2. 根据标点国标 4.13 中的规则，数字、时间或地域连接符应使用（视觉上更长的）“—”或“～”。</explain>
      <paraID>7BE9AD96</paraID>
      <start>0</start>
      <end>12</end>
      <status>unmodified</status>
      <modifiedWord/>
      <trackRevisions>false</trackRevisions>
    </reviewItem>
    <reviewItem>
      <errorID>496b8cbb-3b17-487c-a3a9-c723cbfb4ab4</errorID>
      <errorWord>450.00%~550.00%</errorWord>
      <group>L1_Knowledge</group>
      <groupName>知识性问题</groupName>
      <ability>L2_Knowledge</ability>
      <abilityName>其他知识</abilityName>
      <candidateList>
        <item>450.00%～550.00%</item>
      </candidateList>
      <explain>1. “450.00%~550.00%”中的单位“%”仅出现在后一个数字上，容易引起歧义；根据《现代汉语标点符号数字用法规范手册》，数字表示范围两边需要使用统一的格式。2. 根据标点国标 4.13 中的规则，数字、时间或地域连接符应使用（视觉上更长的）“—”或“～”。</explain>
      <paraID>6EB60462</paraID>
      <start>0</start>
      <end>16</end>
      <status>unmodified</status>
      <modifiedWord/>
      <trackRevisions>false</trackRevisions>
    </reviewItem>
    <reviewItem>
      <errorID>2af226c0-1cc4-4019-aaa6-96533f08987c</errorID>
      <errorWord>259.20%~316.80%</errorWord>
      <group>L1_Knowledge</group>
      <groupName>知识性问题</groupName>
      <ability>L2_Knowledge</ability>
      <abilityName>其他知识</abilityName>
      <candidateList>
        <item>259.20%～316.80%</item>
      </candidateList>
      <explain>1. “259.20%~316.80%”中的单位“%”仅出现在后一个数字上，容易引起歧义；根据《现代汉语标点符号数字用法规范手册》，数字表示范围两边需要使用统一的格式。2. 根据标点国标 4.13 中的规则，数字、时间或地域连接符应使用（视觉上更长的）“—”或“～”。</explain>
      <paraID>4E89FA04</paraID>
      <start>0</start>
      <end>16</end>
      <status>unmodified</status>
      <modifiedWord/>
      <trackRevisions>false</trackRevisions>
    </reviewItem>
    <reviewItem>
      <errorID>8023183c-27e1-4fad-be1f-a52263fafd3b</errorID>
      <errorWord>146.70%~179.30%</errorWord>
      <group>L1_Knowledge</group>
      <groupName>知识性问题</groupName>
      <ability>L2_Knowledge</ability>
      <abilityName>其他知识</abilityName>
      <candidateList>
        <item>146.70%～179.30%</item>
      </candidateList>
      <explain>1. “146.70%~179.30%”中的单位“%”仅出现在后一个数字上，容易引起歧义；根据《现代汉语标点符号数字用法规范手册》，数字表示范围两边需要使用统一的格式。2. 根据标点国标 4.13 中的规则，数字、时间或地域连接符应使用（视觉上更长的）“—”或“～”。</explain>
      <paraID>69D7AC15</paraID>
      <start>0</start>
      <end>16</end>
      <status>unmodified</status>
      <modifiedWord/>
      <trackRevisions>false</trackRevisions>
    </reviewItem>
    <reviewItem>
      <errorID>1592cd12-b517-4f90-aa10-c5c4f012294e</errorID>
      <errorWord>0~8%</errorWord>
      <group>L1_Knowledge</group>
      <groupName>知识性问题</groupName>
      <ability>L2_Knowledge</ability>
      <abilityName>其他知识</abilityName>
      <candidateList>
        <item>0～8%</item>
      </candidateList>
      <explain>1. “0~8%”中的单位“%”仅出现在后一个数字上，容易引起歧义；根据《现代汉语标点符号数字用法规范手册》，数字表示范围两边需要使用统一的格式。2. 根据标点国标 4.13 中的规则，数字、时间或地域连接符应使用（视觉上更长的）“—”或“～”。</explain>
      <paraID>531F7A3C</paraID>
      <start>0</start>
      <end>5</end>
      <status>unmodified</status>
      <modifiedWord/>
      <trackRevisions>false</trackRevisions>
    </reviewItem>
    <reviewItem>
      <errorID>b7f28612-0561-491b-be06-e4903c778542</errorID>
      <errorWord>,</errorWord>
      <group>L1_Format</group>
      <groupName>格式问题</groupName>
      <ability>L2_HalfPunc</ability>
      <abilityName>全半角检查</abilityName>
      <candidateList>
        <item>，</item>
      </candidateList>
      <explain>文本全半角错误。</explain>
      <paraID>6371B26C</paraID>
      <start>348</start>
      <end>349</end>
      <status>unmodified</status>
      <modifiedWord/>
      <trackRevisions>false</trackRevisions>
    </reviewItem>
    <reviewItem>
      <errorID>9147f540-67cf-4c67-98f1-91b162c5358d</errorID>
      <errorWord>多个</errorWord>
      <group>L1_Knowledge</group>
      <groupName>知识性问题</groupName>
      <ability>L2_Knowledge</ability>
      <abilityName>其他知识</abilityName>
      <candidateList>
        <item>多项</item>
      </candidateList>
      <explain/>
      <paraID> B1D35AB</paraID>
      <start>17</start>
      <end>19</end>
      <status>unmodified</status>
      <modifiedWord/>
      <trackRevisions>false</trackRevisions>
    </reviewItem>
    <reviewItem>
      <errorID>c44257f5-3941-4256-9f3e-326a9a8350f5</errorID>
      <errorWord>,</errorWord>
      <group>L1_Format</group>
      <groupName>格式问题</groupName>
      <ability>L2_HalfPunc</ability>
      <abilityName>全半角检查</abilityName>
      <candidateList>
        <item>，</item>
      </candidateList>
      <explain>文本全半角错误。</explain>
      <paraID> B1D35AB</paraID>
      <start>52</start>
      <end>53</end>
      <status>unmodified</status>
      <modifiedWord/>
      <trackRevisions>false</trackRevisions>
    </reviewItem>
    <reviewItem>
      <errorID>4468dc97-586f-42d3-8bdf-18dbf32466dc</errorID>
      <errorWord>带入</errorWord>
      <group>L1_Word</group>
      <groupName>字词问题</groupName>
      <ability>L2_Typo</ability>
      <abilityName>字词错误</abilityName>
      <candidateList>
        <item>代入</item>
      </candidateList>
      <explain/>
      <paraID>557C5A46</paraID>
      <start>0</start>
      <end>2</end>
      <status>unmodified</status>
      <modifiedWord/>
      <trackRevisions>false</trackRevisions>
    </reviewItem>
    <reviewItem>
      <errorID>d436c324-a183-4de1-bfd7-aee5b247786a</errorID>
      <errorWord>具</errorWord>
      <group>L1_Word</group>
      <groupName>字词问题</groupName>
      <ability>L2_Typo</ability>
      <abilityName>字词错误</abilityName>
      <candidateList>
        <item>具有</item>
      </candidateList>
      <explain>〈动〉有（多用于抽象事物）：～信心｜～伟大的意义。</explain>
      <paraID>34A7B0F2</paraID>
      <start>118</start>
      <end>119</end>
      <status>unmodified</status>
      <modifiedWord/>
      <trackRevisions>false</trackRevisions>
    </reviewItem>
    <reviewItem>
      <errorID>7c545242-ae13-40af-9384-4729b6c486df</errorID>
      <errorWord>，。</errorWord>
      <group>L1_Punc</group>
      <groupName>标点问题</groupName>
      <ability>L2_Punc</ability>
      <abilityName>标点符号检查</abilityName>
      <candidateList>
        <item>，</item>
      </candidateList>
      <explain/>
      <paraID>77A2C367</paraID>
      <start>106</start>
      <end>244</end>
      <status>unmodified</status>
      <modifiedWord/>
      <trackRevisions>false</trackRevisions>
    </reviewItem>
    <reviewItem>
      <errorID>944dcbd5-b7c9-41b8-bb87-2f1dab21494a</errorID>
      <errorWord>（</errorWord>
      <group>L1_Format</group>
      <groupName>格式问题</groupName>
      <ability>L2_HalfPunc</ability>
      <abilityName>全半角检查</abilityName>
      <candidateList>
        <item>(</item>
      </candidateList>
      <explain>文本全半角错误。</explain>
      <paraID>32C50E4A</paraID>
      <start>205</start>
      <end>206</end>
      <status>unmodified</status>
      <modifiedWord/>
      <trackRevisions>false</trackRevisions>
    </reviewItem>
    <reviewItem>
      <errorID>e9e30e3b-3b61-45aa-a926-738d6d37fa28</errorID>
      <errorWord>）</errorWord>
      <group>L1_Format</group>
      <groupName>格式问题</groupName>
      <ability>L2_HalfPunc</ability>
      <abilityName>全半角检查</abilityName>
      <candidateList>
        <item>)</item>
      </candidateList>
      <explain>文本全半角错误。</explain>
      <paraID>32C50E4A</paraID>
      <start>207</start>
      <end>208</end>
      <status>unmodified</status>
      <modifiedWord/>
      <trackRevisions>false</trackRevisions>
    </reviewItem>
    <reviewItem>
      <errorID>f3f6a84a-149c-4e0e-9c81-ead660b2011c</errorID>
      <errorWord>’</errorWord>
      <group>L1_Punc</group>
      <groupName>标点问题</groupName>
      <ability>L2_Punc</ability>
      <abilityName>标点符号检查</abilityName>
      <candidateList/>
      <explain/>
      <paraID> 5249666</paraID>
      <start>32</start>
      <end>33</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e7312-d56a-47c6-b9dc-277ce06ec083}">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1052</Words>
  <Characters>2010</Characters>
  <Lines>0</Lines>
  <Paragraphs>0</Paragraphs>
  <TotalTime>23</TotalTime>
  <ScaleCrop>false</ScaleCrop>
  <LinksUpToDate>false</LinksUpToDate>
  <CharactersWithSpaces>2103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windy</cp:lastModifiedBy>
  <cp:lastPrinted>2026-01-08T00:55:00Z</cp:lastPrinted>
  <dcterms:modified xsi:type="dcterms:W3CDTF">2026-07-07T02:27:57Z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eyJoZGlkIjoiOTYyMWU1ZDU4MjhhODg2OTIyMmE5NjY0NWE4ZWQ2NjkiLCJ1c2VySWQiOiIzNDgwMTMwODEifQ==</vt:lpwstr>
  </property>
  <property fmtid="{D5CDD505-2E9C-101B-9397-08002B2CF9AE}" pid="3" name="KSOProductBuildVer">
    <vt:lpwstr>2052-12.1.0.26895</vt:lpwstr>
  </property>
  <property fmtid="{D5CDD505-2E9C-101B-9397-08002B2CF9AE}" pid="4" name="ICV">
    <vt:lpwstr>06749A0295014AB6B5294122A462A505_13</vt:lpwstr>
  </property>
  <property fmtid="{D5CDD505-2E9C-101B-9397-08002B2CF9AE}" pid="5" name="hmcheck_markmode">
    <vt:i4>0</vt:i4>
  </property>
  <property fmtid="{D5CDD505-2E9C-101B-9397-08002B2CF9AE}" pid="6" name="hmcheck_taskpanetype">
    <vt:i4>1</vt:i4>
  </property>
</Properties>
</file>