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C8DB3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2" w:firstLineChars="200"/>
        <w:jc w:val="center"/>
        <w:textAlignment w:val="auto"/>
        <w:rPr>
          <w:rFonts w:ascii="Times New Roman" w:hAnsi="Times New Roman" w:eastAsia="宋体"/>
          <w:b/>
          <w:color w:val="auto"/>
          <w:sz w:val="21"/>
          <w:szCs w:val="18"/>
          <w:highlight w:val="none"/>
          <w:u w:val="none" w:color="auto"/>
          <w:shd w:val="clear" w:fill="auto"/>
        </w:rPr>
      </w:pPr>
      <w:bookmarkStart w:id="0" w:name="_GoBack"/>
      <w:bookmarkEnd w:id="0"/>
      <w:r>
        <w:rPr>
          <w:rFonts w:hint="eastAsia" w:ascii="Times New Roman" w:hAnsi="Times New Roman" w:eastAsia="宋体"/>
          <w:b/>
          <w:color w:val="auto"/>
          <w:sz w:val="21"/>
          <w:szCs w:val="18"/>
          <w:highlight w:val="none"/>
          <w:u w:val="none" w:color="auto"/>
          <w:shd w:val="clear" w:fill="auto"/>
        </w:rPr>
        <w:t>表4</w:t>
      </w:r>
      <w:r>
        <w:rPr>
          <w:rFonts w:hint="eastAsia" w:ascii="Times New Roman" w:hAnsi="Times New Roman" w:eastAsia="宋体"/>
          <w:b/>
          <w:color w:val="auto"/>
          <w:sz w:val="21"/>
          <w:szCs w:val="18"/>
          <w:highlight w:val="none"/>
          <w:u w:val="none" w:color="auto"/>
          <w:shd w:val="clear" w:fill="auto"/>
          <w:lang w:val="en-US" w:eastAsia="zh-CN"/>
        </w:rPr>
        <w:t xml:space="preserve">   </w:t>
      </w:r>
      <w:r>
        <w:rPr>
          <w:rFonts w:hint="eastAsia" w:ascii="Times New Roman" w:hAnsi="Times New Roman" w:eastAsia="宋体"/>
          <w:b/>
          <w:color w:val="auto"/>
          <w:sz w:val="21"/>
          <w:szCs w:val="18"/>
          <w:highlight w:val="none"/>
          <w:u w:val="none" w:color="auto"/>
          <w:shd w:val="clear" w:fill="auto"/>
        </w:rPr>
        <w:t>两组</w:t>
      </w:r>
      <w:r>
        <w:rPr>
          <w:rFonts w:hint="eastAsia" w:ascii="Times New Roman" w:hAnsi="Times New Roman" w:eastAsia="宋体"/>
          <w:b/>
          <w:color w:val="auto"/>
          <w:sz w:val="21"/>
          <w:szCs w:val="18"/>
          <w:highlight w:val="none"/>
          <w:u w:val="none" w:color="auto"/>
          <w:shd w:val="clear" w:fill="auto"/>
          <w:lang w:eastAsia="zh-CN"/>
        </w:rPr>
        <w:t>患者衰弱</w:t>
      </w:r>
      <w:r>
        <w:rPr>
          <w:rFonts w:hint="eastAsia" w:ascii="Times New Roman" w:hAnsi="Times New Roman" w:eastAsia="宋体"/>
          <w:b/>
          <w:color w:val="auto"/>
          <w:sz w:val="21"/>
          <w:szCs w:val="18"/>
          <w:highlight w:val="none"/>
          <w:u w:val="none" w:color="auto"/>
          <w:shd w:val="clear" w:fill="auto"/>
        </w:rPr>
        <w:t>状态及生活质量比较</w:t>
      </w:r>
      <w:r>
        <w:rPr>
          <w:rFonts w:hint="eastAsia" w:ascii="Times New Roman" w:hAnsi="Times New Roman" w:eastAsia="宋体"/>
          <w:b/>
          <w:color w:val="auto"/>
          <w:sz w:val="21"/>
          <w:szCs w:val="18"/>
          <w:highlight w:val="none"/>
          <w:u w:val="none" w:color="auto"/>
          <w:shd w:val="clear" w:fill="auto"/>
          <w:lang w:val="en-US" w:eastAsia="zh-CN"/>
        </w:rPr>
        <w:t xml:space="preserve">    </w:t>
      </w:r>
      <w:r>
        <w:rPr>
          <w:rFonts w:ascii="Times New Roman" w:hAnsi="Times New Roman" w:eastAsia="宋体"/>
          <w:b/>
          <w:bCs/>
          <w:color w:val="auto"/>
          <w:sz w:val="21"/>
          <w:highlight w:val="none"/>
          <w:u w:val="none" w:color="auto"/>
          <w:shd w:val="clear" w:fill="auto"/>
        </w:rPr>
        <w:t>（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sym w:font="Symbol" w:char="F060"/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x</w:t>
      </w:r>
      <w:r>
        <w:rPr>
          <w:rFonts w:ascii="Times New Roman" w:hAnsi="Times New Roman" w:eastAsia="宋体"/>
          <w:b/>
          <w:bCs/>
          <w:color w:val="auto"/>
          <w:sz w:val="21"/>
          <w:szCs w:val="21"/>
          <w:highlight w:val="none"/>
        </w:rPr>
        <w:t xml:space="preserve"> ± </w:t>
      </w:r>
      <w:r>
        <w:rPr>
          <w:rFonts w:ascii="Times New Roman" w:hAnsi="Times New Roman" w:eastAsia="宋体"/>
          <w:b/>
          <w:bCs/>
          <w:i/>
          <w:iCs/>
          <w:color w:val="auto"/>
          <w:sz w:val="21"/>
          <w:szCs w:val="21"/>
          <w:highlight w:val="none"/>
        </w:rPr>
        <w:t>s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highlight w:val="none"/>
          <w:u w:val="none" w:color="auto"/>
          <w:shd w:val="clear" w:fill="auto"/>
          <w:lang w:eastAsia="zh-CN"/>
        </w:rPr>
        <w:t>，</w:t>
      </w:r>
      <w:r>
        <w:rPr>
          <w:rFonts w:hint="eastAsia" w:ascii="Times New Roman" w:hAnsi="Times New Roman"/>
          <w:b/>
          <w:bCs/>
          <w:i/>
          <w:iCs/>
          <w:color w:val="auto"/>
          <w:sz w:val="21"/>
          <w:highlight w:val="none"/>
          <w:u w:val="none" w:color="auto"/>
          <w:shd w:val="clear" w:fill="auto"/>
          <w:lang w:val="en-US" w:eastAsia="zh-CN"/>
        </w:rPr>
        <w:t>n</w:t>
      </w:r>
      <w:r>
        <w:rPr>
          <w:rFonts w:hint="eastAsia" w:ascii="Times New Roman" w:hAnsi="Times New Roman"/>
          <w:b/>
          <w:bCs/>
          <w:i w:val="0"/>
          <w:iCs w:val="0"/>
          <w:color w:val="auto"/>
          <w:sz w:val="21"/>
          <w:highlight w:val="none"/>
          <w:u w:val="none" w:color="auto"/>
          <w:shd w:val="clear" w:fill="auto"/>
          <w:lang w:val="en-US" w:eastAsia="zh-CN"/>
        </w:rPr>
        <w:t>=40</w:t>
      </w:r>
      <w:r>
        <w:rPr>
          <w:rFonts w:ascii="Times New Roman" w:hAnsi="Times New Roman" w:eastAsia="宋体"/>
          <w:b/>
          <w:color w:val="auto"/>
          <w:sz w:val="21"/>
          <w:highlight w:val="none"/>
          <w:u w:val="none" w:color="auto"/>
          <w:shd w:val="clear" w:fill="auto"/>
        </w:rPr>
        <w:t>）</w:t>
      </w:r>
    </w:p>
    <w:tbl>
      <w:tblPr>
        <w:tblStyle w:val="7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6"/>
        <w:gridCol w:w="1531"/>
        <w:gridCol w:w="1527"/>
        <w:gridCol w:w="1255"/>
        <w:gridCol w:w="1514"/>
        <w:gridCol w:w="1347"/>
        <w:gridCol w:w="1671"/>
      </w:tblGrid>
      <w:tr w14:paraId="532B0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6" w:type="dxa"/>
            <w:vMerge w:val="restart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978978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组别</w:t>
            </w:r>
          </w:p>
        </w:tc>
        <w:tc>
          <w:tcPr>
            <w:tcW w:w="3058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58FF623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Fried衰弱表型评分</w:t>
            </w:r>
            <w:r>
              <w:rPr>
                <w:rFonts w:hint="eastAsia"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/</w:t>
            </w:r>
            <w:r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分</w:t>
            </w:r>
          </w:p>
        </w:tc>
        <w:tc>
          <w:tcPr>
            <w:tcW w:w="2769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8EB152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CAT总分</w:t>
            </w:r>
            <w:r>
              <w:rPr>
                <w:rFonts w:hint="eastAsia"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/</w:t>
            </w:r>
            <w:r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分</w:t>
            </w:r>
          </w:p>
        </w:tc>
        <w:tc>
          <w:tcPr>
            <w:tcW w:w="3018" w:type="dxa"/>
            <w:gridSpan w:val="2"/>
            <w:tcBorders>
              <w:top w:val="single" w:color="auto" w:sz="12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156D7A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SGRQ总分</w:t>
            </w:r>
            <w:r>
              <w:rPr>
                <w:rFonts w:hint="eastAsia"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/</w:t>
            </w:r>
            <w:r>
              <w:rPr>
                <w:rFonts w:ascii="Times New Roman" w:hAnsi="Times New Roman" w:eastAsia="宋体" w:cs="宋体"/>
                <w:bCs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分</w:t>
            </w:r>
          </w:p>
        </w:tc>
      </w:tr>
      <w:tr w14:paraId="2EAD31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6" w:type="dxa"/>
            <w:vMerge w:val="continue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1653A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</w:p>
        </w:tc>
        <w:tc>
          <w:tcPr>
            <w:tcW w:w="153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951C53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治疗前</w:t>
            </w:r>
          </w:p>
        </w:tc>
        <w:tc>
          <w:tcPr>
            <w:tcW w:w="152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5AC2B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治疗3个月后</w:t>
            </w:r>
          </w:p>
        </w:tc>
        <w:tc>
          <w:tcPr>
            <w:tcW w:w="1255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63EA303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治疗前</w:t>
            </w:r>
          </w:p>
        </w:tc>
        <w:tc>
          <w:tcPr>
            <w:tcW w:w="1514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211A2E9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治疗3个月后</w:t>
            </w:r>
          </w:p>
        </w:tc>
        <w:tc>
          <w:tcPr>
            <w:tcW w:w="1347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07D2F4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  <w:t>治疗前</w:t>
            </w:r>
          </w:p>
        </w:tc>
        <w:tc>
          <w:tcPr>
            <w:tcW w:w="1671" w:type="dxa"/>
            <w:tcBorders>
              <w:top w:val="single" w:color="auto" w:sz="8" w:space="0"/>
              <w:left w:val="nil"/>
              <w:bottom w:val="single" w:color="auto" w:sz="8" w:space="0"/>
              <w:right w:val="nil"/>
            </w:tcBorders>
            <w:vAlign w:val="center"/>
          </w:tcPr>
          <w:p w14:paraId="18C74DD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治疗3个月后</w:t>
            </w:r>
          </w:p>
        </w:tc>
      </w:tr>
      <w:tr w14:paraId="0716B4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636" w:type="dxa"/>
            <w:tcBorders>
              <w:top w:val="single" w:color="auto" w:sz="8" w:space="0"/>
            </w:tcBorders>
            <w:vAlign w:val="center"/>
          </w:tcPr>
          <w:p w14:paraId="4E97E0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观察</w:t>
            </w:r>
            <w:r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组</w:t>
            </w:r>
          </w:p>
        </w:tc>
        <w:tc>
          <w:tcPr>
            <w:tcW w:w="1531" w:type="dxa"/>
            <w:tcBorders>
              <w:top w:val="single" w:color="auto" w:sz="8" w:space="0"/>
            </w:tcBorders>
            <w:vAlign w:val="center"/>
          </w:tcPr>
          <w:p w14:paraId="17B202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3.85±0.92</w:t>
            </w:r>
          </w:p>
        </w:tc>
        <w:tc>
          <w:tcPr>
            <w:tcW w:w="1527" w:type="dxa"/>
            <w:tcBorders>
              <w:top w:val="single" w:color="auto" w:sz="8" w:space="0"/>
            </w:tcBorders>
            <w:vAlign w:val="center"/>
          </w:tcPr>
          <w:p w14:paraId="598187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2.45±0.75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vertAlign w:val="superscript"/>
              </w:rPr>
              <w:t>*</w:t>
            </w:r>
          </w:p>
        </w:tc>
        <w:tc>
          <w:tcPr>
            <w:tcW w:w="1255" w:type="dxa"/>
            <w:tcBorders>
              <w:top w:val="single" w:color="auto" w:sz="8" w:space="0"/>
            </w:tcBorders>
            <w:vAlign w:val="center"/>
          </w:tcPr>
          <w:p w14:paraId="393B0DF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22.1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4</w:t>
            </w: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±4.25</w:t>
            </w:r>
          </w:p>
        </w:tc>
        <w:tc>
          <w:tcPr>
            <w:tcW w:w="1514" w:type="dxa"/>
            <w:tcBorders>
              <w:top w:val="single" w:color="auto" w:sz="8" w:space="0"/>
            </w:tcBorders>
            <w:vAlign w:val="center"/>
          </w:tcPr>
          <w:p w14:paraId="0CAA9E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15.32±3.85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vertAlign w:val="superscript"/>
              </w:rPr>
              <w:t>*</w:t>
            </w:r>
          </w:p>
        </w:tc>
        <w:tc>
          <w:tcPr>
            <w:tcW w:w="1347" w:type="dxa"/>
            <w:tcBorders>
              <w:top w:val="single" w:color="auto" w:sz="8" w:space="0"/>
            </w:tcBorders>
            <w:vAlign w:val="center"/>
          </w:tcPr>
          <w:p w14:paraId="314DA4B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4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6</w:t>
            </w: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.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41</w:t>
            </w: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±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7.36</w:t>
            </w:r>
          </w:p>
        </w:tc>
        <w:tc>
          <w:tcPr>
            <w:tcW w:w="1671" w:type="dxa"/>
            <w:tcBorders>
              <w:top w:val="single" w:color="auto" w:sz="8" w:space="0"/>
            </w:tcBorders>
            <w:vAlign w:val="center"/>
          </w:tcPr>
          <w:p w14:paraId="2A97AC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32.15±7.45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vertAlign w:val="superscript"/>
              </w:rPr>
              <w:t>*</w:t>
            </w:r>
          </w:p>
        </w:tc>
      </w:tr>
      <w:tr w14:paraId="32A0EA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6" w:type="dxa"/>
            <w:vAlign w:val="center"/>
          </w:tcPr>
          <w:p w14:paraId="6503F32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对照组</w:t>
            </w:r>
          </w:p>
        </w:tc>
        <w:tc>
          <w:tcPr>
            <w:tcW w:w="1531" w:type="dxa"/>
            <w:vAlign w:val="center"/>
          </w:tcPr>
          <w:p w14:paraId="02AEE74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3.78±0.88</w:t>
            </w:r>
          </w:p>
        </w:tc>
        <w:tc>
          <w:tcPr>
            <w:tcW w:w="1527" w:type="dxa"/>
            <w:vAlign w:val="center"/>
          </w:tcPr>
          <w:p w14:paraId="265A6D9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3.12±0.82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vertAlign w:val="superscript"/>
              </w:rPr>
              <w:t>*</w:t>
            </w:r>
          </w:p>
        </w:tc>
        <w:tc>
          <w:tcPr>
            <w:tcW w:w="1255" w:type="dxa"/>
            <w:vAlign w:val="center"/>
          </w:tcPr>
          <w:p w14:paraId="61A68A3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21.87±4.12</w:t>
            </w:r>
          </w:p>
        </w:tc>
        <w:tc>
          <w:tcPr>
            <w:tcW w:w="1514" w:type="dxa"/>
            <w:vAlign w:val="center"/>
          </w:tcPr>
          <w:p w14:paraId="0CBA782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18.75±4.02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vertAlign w:val="superscript"/>
              </w:rPr>
              <w:t>*</w:t>
            </w:r>
          </w:p>
        </w:tc>
        <w:tc>
          <w:tcPr>
            <w:tcW w:w="1347" w:type="dxa"/>
            <w:vAlign w:val="center"/>
          </w:tcPr>
          <w:p w14:paraId="31787A1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45.80</w:t>
            </w: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±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6.85</w:t>
            </w:r>
          </w:p>
        </w:tc>
        <w:tc>
          <w:tcPr>
            <w:tcW w:w="1671" w:type="dxa"/>
            <w:vAlign w:val="center"/>
          </w:tcPr>
          <w:p w14:paraId="4F300B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38.32±8.12</w:t>
            </w:r>
            <w:r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vertAlign w:val="superscript"/>
              </w:rPr>
              <w:t>*</w:t>
            </w:r>
          </w:p>
        </w:tc>
      </w:tr>
      <w:tr w14:paraId="2AEA7A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6" w:type="dxa"/>
            <w:tcBorders>
              <w:bottom w:val="nil"/>
            </w:tcBorders>
            <w:vAlign w:val="center"/>
          </w:tcPr>
          <w:p w14:paraId="38EFB9F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i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t</w:t>
            </w:r>
          </w:p>
        </w:tc>
        <w:tc>
          <w:tcPr>
            <w:tcW w:w="1531" w:type="dxa"/>
            <w:tcBorders>
              <w:bottom w:val="nil"/>
            </w:tcBorders>
            <w:vAlign w:val="center"/>
          </w:tcPr>
          <w:p w14:paraId="4B41E75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0.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3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48</w:t>
            </w:r>
          </w:p>
        </w:tc>
        <w:tc>
          <w:tcPr>
            <w:tcW w:w="1527" w:type="dxa"/>
            <w:tcBorders>
              <w:bottom w:val="nil"/>
            </w:tcBorders>
            <w:vAlign w:val="center"/>
          </w:tcPr>
          <w:p w14:paraId="0CAEE2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3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.813</w:t>
            </w:r>
          </w:p>
        </w:tc>
        <w:tc>
          <w:tcPr>
            <w:tcW w:w="1255" w:type="dxa"/>
            <w:tcBorders>
              <w:bottom w:val="nil"/>
            </w:tcBorders>
            <w:vAlign w:val="center"/>
          </w:tcPr>
          <w:p w14:paraId="3CB3DD5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0.2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88</w:t>
            </w:r>
          </w:p>
        </w:tc>
        <w:tc>
          <w:tcPr>
            <w:tcW w:w="1514" w:type="dxa"/>
            <w:tcBorders>
              <w:bottom w:val="nil"/>
            </w:tcBorders>
            <w:vAlign w:val="center"/>
          </w:tcPr>
          <w:p w14:paraId="470ABED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3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.897</w:t>
            </w:r>
          </w:p>
        </w:tc>
        <w:tc>
          <w:tcPr>
            <w:tcW w:w="1347" w:type="dxa"/>
            <w:tcBorders>
              <w:bottom w:val="nil"/>
            </w:tcBorders>
            <w:vAlign w:val="center"/>
          </w:tcPr>
          <w:p w14:paraId="160499B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.384</w:t>
            </w:r>
          </w:p>
        </w:tc>
        <w:tc>
          <w:tcPr>
            <w:tcW w:w="1671" w:type="dxa"/>
            <w:tcBorders>
              <w:bottom w:val="nil"/>
            </w:tcBorders>
            <w:vAlign w:val="center"/>
          </w:tcPr>
          <w:p w14:paraId="27F7A94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3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.541</w:t>
            </w:r>
          </w:p>
        </w:tc>
      </w:tr>
      <w:tr w14:paraId="6E049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636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6F72FFA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/>
                <w:i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P</w:t>
            </w:r>
          </w:p>
        </w:tc>
        <w:tc>
          <w:tcPr>
            <w:tcW w:w="153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3671440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0.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7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29</w:t>
            </w:r>
          </w:p>
        </w:tc>
        <w:tc>
          <w:tcPr>
            <w:tcW w:w="152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0F080DC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eastAsia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&lt;</w:t>
            </w: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0.00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1</w:t>
            </w:r>
          </w:p>
        </w:tc>
        <w:tc>
          <w:tcPr>
            <w:tcW w:w="1255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16EE9EA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0.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7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74</w:t>
            </w:r>
          </w:p>
        </w:tc>
        <w:tc>
          <w:tcPr>
            <w:tcW w:w="1514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BA0D48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&lt;</w:t>
            </w:r>
            <w:r>
              <w:rPr>
                <w:rFonts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0.00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  <w:t>1</w:t>
            </w:r>
          </w:p>
        </w:tc>
        <w:tc>
          <w:tcPr>
            <w:tcW w:w="1347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265C65B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.702</w:t>
            </w:r>
          </w:p>
        </w:tc>
        <w:tc>
          <w:tcPr>
            <w:tcW w:w="167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4406865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</w:rPr>
            </w:pP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eastAsia="zh-CN"/>
              </w:rPr>
              <w:t>0</w:t>
            </w:r>
            <w:r>
              <w:rPr>
                <w:rFonts w:hint="eastAsia" w:ascii="Times New Roman" w:hAnsi="Times New Roman" w:eastAsia="宋体" w:cs="宋体"/>
                <w:color w:val="auto"/>
                <w:kern w:val="0"/>
                <w:sz w:val="21"/>
                <w:szCs w:val="18"/>
                <w:highlight w:val="none"/>
                <w:u w:val="none" w:color="auto"/>
                <w:shd w:val="clear" w:fill="auto"/>
                <w:lang w:val="en-US" w:eastAsia="zh-CN"/>
              </w:rPr>
              <w:t>.001</w:t>
            </w:r>
          </w:p>
        </w:tc>
      </w:tr>
    </w:tbl>
    <w:p w14:paraId="1D33CA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630" w:firstLineChars="300"/>
        <w:jc w:val="both"/>
        <w:textAlignment w:val="auto"/>
        <w:rPr>
          <w:rFonts w:ascii="Times New Roman" w:hAnsi="Times New Roman" w:eastAsia="宋体"/>
          <w:color w:val="auto"/>
          <w:sz w:val="21"/>
          <w:szCs w:val="18"/>
          <w:highlight w:val="none"/>
          <w:u w:val="none" w:color="auto"/>
          <w:shd w:val="clear" w:fill="auto"/>
        </w:rPr>
      </w:pPr>
      <w:r>
        <w:rPr>
          <w:rFonts w:hint="eastAsia" w:ascii="Times New Roman" w:hAnsi="Times New Roman" w:eastAsia="宋体"/>
          <w:color w:val="auto"/>
          <w:sz w:val="21"/>
          <w:szCs w:val="18"/>
          <w:highlight w:val="none"/>
          <w:u w:val="none" w:color="auto"/>
          <w:shd w:val="clear" w:fill="auto"/>
        </w:rPr>
        <w:t>注：与治疗前相比，</w:t>
      </w:r>
      <w:r>
        <w:rPr>
          <w:rFonts w:hint="eastAsia" w:ascii="Times New Roman" w:hAnsi="Times New Roman" w:eastAsia="宋体"/>
          <w:color w:val="auto"/>
          <w:sz w:val="21"/>
          <w:szCs w:val="18"/>
          <w:highlight w:val="none"/>
          <w:u w:val="none" w:color="auto"/>
          <w:shd w:val="clear" w:fill="auto"/>
          <w:vertAlign w:val="superscript"/>
        </w:rPr>
        <w:t>*</w:t>
      </w:r>
      <w:r>
        <w:rPr>
          <w:rFonts w:hint="eastAsia" w:ascii="Times New Roman" w:hAnsi="Times New Roman" w:eastAsia="宋体"/>
          <w:i/>
          <w:color w:val="auto"/>
          <w:sz w:val="21"/>
          <w:szCs w:val="18"/>
          <w:highlight w:val="none"/>
          <w:u w:val="none" w:color="auto"/>
          <w:shd w:val="clear" w:fill="auto"/>
        </w:rPr>
        <w:t>P</w:t>
      </w:r>
      <w:r>
        <w:rPr>
          <w:rFonts w:hint="eastAsia" w:ascii="Times New Roman" w:hAnsi="Times New Roman" w:eastAsia="宋体"/>
          <w:color w:val="auto"/>
          <w:sz w:val="21"/>
          <w:szCs w:val="18"/>
          <w:highlight w:val="none"/>
          <w:u w:val="none" w:color="auto"/>
          <w:shd w:val="clear" w:fill="auto"/>
        </w:rPr>
        <w:t>＜0.05。</w:t>
      </w:r>
    </w:p>
    <w:p w14:paraId="00A2CA4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20" w:firstLineChars="200"/>
        <w:jc w:val="center"/>
        <w:textAlignment w:val="auto"/>
        <w:rPr>
          <w:rFonts w:hint="eastAsia" w:ascii="Times New Roman" w:hAnsi="Times New Roman" w:eastAsia="宋体"/>
          <w:color w:val="auto"/>
          <w:sz w:val="21"/>
          <w:highlight w:val="none"/>
          <w:u w:val="none" w:color="auto"/>
          <w:shd w:val="clear" w:fill="auto"/>
          <w:lang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833"/>
    <w:rsid w:val="00033D79"/>
    <w:rsid w:val="0003526D"/>
    <w:rsid w:val="0015394D"/>
    <w:rsid w:val="00241A14"/>
    <w:rsid w:val="003B07AA"/>
    <w:rsid w:val="004C2BA1"/>
    <w:rsid w:val="00522D55"/>
    <w:rsid w:val="00607B50"/>
    <w:rsid w:val="006757CC"/>
    <w:rsid w:val="006C3ADB"/>
    <w:rsid w:val="009C6833"/>
    <w:rsid w:val="009F49BE"/>
    <w:rsid w:val="00B94454"/>
    <w:rsid w:val="00BA0A86"/>
    <w:rsid w:val="00C6628E"/>
    <w:rsid w:val="00D267C5"/>
    <w:rsid w:val="00E069E7"/>
    <w:rsid w:val="00E46233"/>
    <w:rsid w:val="02E75427"/>
    <w:rsid w:val="03AF49F3"/>
    <w:rsid w:val="058F1702"/>
    <w:rsid w:val="05D7706A"/>
    <w:rsid w:val="070F3FD3"/>
    <w:rsid w:val="0775691E"/>
    <w:rsid w:val="079D399E"/>
    <w:rsid w:val="0AE565E1"/>
    <w:rsid w:val="0C460641"/>
    <w:rsid w:val="0DEA4752"/>
    <w:rsid w:val="10EF184D"/>
    <w:rsid w:val="1111021B"/>
    <w:rsid w:val="176E04EB"/>
    <w:rsid w:val="1B956827"/>
    <w:rsid w:val="1D493067"/>
    <w:rsid w:val="1E016476"/>
    <w:rsid w:val="1E2F6A76"/>
    <w:rsid w:val="1E432C32"/>
    <w:rsid w:val="20F86677"/>
    <w:rsid w:val="217B334E"/>
    <w:rsid w:val="24760412"/>
    <w:rsid w:val="24B81EA4"/>
    <w:rsid w:val="270226FF"/>
    <w:rsid w:val="27FA10A7"/>
    <w:rsid w:val="284A4D89"/>
    <w:rsid w:val="2FD27FFA"/>
    <w:rsid w:val="31197F4E"/>
    <w:rsid w:val="326676B2"/>
    <w:rsid w:val="33E336D8"/>
    <w:rsid w:val="34D67F04"/>
    <w:rsid w:val="36595D78"/>
    <w:rsid w:val="36976C55"/>
    <w:rsid w:val="38282229"/>
    <w:rsid w:val="3A824DB6"/>
    <w:rsid w:val="3BDA29D0"/>
    <w:rsid w:val="435C08A8"/>
    <w:rsid w:val="487A531F"/>
    <w:rsid w:val="4B55386F"/>
    <w:rsid w:val="519F1841"/>
    <w:rsid w:val="51C473BA"/>
    <w:rsid w:val="524E28B6"/>
    <w:rsid w:val="527702B7"/>
    <w:rsid w:val="53017F7B"/>
    <w:rsid w:val="56910DB5"/>
    <w:rsid w:val="571341D2"/>
    <w:rsid w:val="579C7F65"/>
    <w:rsid w:val="58CB7B68"/>
    <w:rsid w:val="5B1B1659"/>
    <w:rsid w:val="5DD96047"/>
    <w:rsid w:val="5E463865"/>
    <w:rsid w:val="5E5177DF"/>
    <w:rsid w:val="5EF83FCA"/>
    <w:rsid w:val="5F7F7267"/>
    <w:rsid w:val="5F8C4606"/>
    <w:rsid w:val="60A57E02"/>
    <w:rsid w:val="67D510BB"/>
    <w:rsid w:val="682F4F3A"/>
    <w:rsid w:val="686A0AB5"/>
    <w:rsid w:val="69526374"/>
    <w:rsid w:val="6AC63D3A"/>
    <w:rsid w:val="6B316B01"/>
    <w:rsid w:val="6BE0108D"/>
    <w:rsid w:val="6C6168E8"/>
    <w:rsid w:val="6E364F94"/>
    <w:rsid w:val="7086080C"/>
    <w:rsid w:val="76E77724"/>
    <w:rsid w:val="7AA03099"/>
    <w:rsid w:val="7B863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3"/>
    <w:basedOn w:val="1"/>
    <w:link w:val="16"/>
    <w:qFormat/>
    <w:uiPriority w:val="9"/>
    <w:pPr>
      <w:widowControl/>
      <w:spacing w:before="100" w:beforeAutospacing="1" w:after="100" w:afterAutospacing="1"/>
      <w:jc w:val="left"/>
      <w:outlineLvl w:val="2"/>
    </w:pPr>
    <w:rPr>
      <w:rFonts w:ascii="宋体" w:hAnsi="宋体" w:eastAsia="宋体" w:cs="宋体"/>
      <w:b/>
      <w:bCs/>
      <w:kern w:val="0"/>
      <w:sz w:val="27"/>
      <w:szCs w:val="27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rPr>
      <w:sz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Emphasis"/>
    <w:basedOn w:val="9"/>
    <w:qFormat/>
    <w:uiPriority w:val="20"/>
    <w:rPr>
      <w:i/>
      <w:iCs/>
    </w:rPr>
  </w:style>
  <w:style w:type="character" w:styleId="12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3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9"/>
    <w:link w:val="4"/>
    <w:semiHidden/>
    <w:qFormat/>
    <w:uiPriority w:val="99"/>
    <w:rPr>
      <w:sz w:val="18"/>
      <w:szCs w:val="1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标题 3 Char"/>
    <w:basedOn w:val="9"/>
    <w:link w:val="2"/>
    <w:qFormat/>
    <w:uiPriority w:val="9"/>
    <w:rPr>
      <w:rFonts w:ascii="宋体" w:hAnsi="宋体" w:eastAsia="宋体" w:cs="宋体"/>
      <w:b/>
      <w:bCs/>
      <w:kern w:val="0"/>
      <w:sz w:val="27"/>
      <w:szCs w:val="27"/>
    </w:rPr>
  </w:style>
  <w:style w:type="paragraph" w:customStyle="1" w:styleId="17">
    <w:name w:val="ds-markdown-paragraph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C6DBF1-A633-409B-990C-B7EC4A51E0D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447</Words>
  <Characters>1161</Characters>
  <Lines>350</Lines>
  <Paragraphs>339</Paragraphs>
  <TotalTime>6</TotalTime>
  <ScaleCrop>false</ScaleCrop>
  <LinksUpToDate>false</LinksUpToDate>
  <CharactersWithSpaces>1197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2025-07-21T02:41:00Z</dcterms:created>
  <dc:creator>Windows 用户</dc:creator>
  <cp:lastModifiedBy>windy</cp:lastModifiedBy>
  <dcterms:modified xsi:type="dcterms:W3CDTF">2026-07-06T08:45:21Z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eyJoZGlkIjoiOTYyMWU1ZDU4MjhhODg2OTIyMmE5NjY0NWE4ZWQ2NjkiLCJ1c2VySWQiOiIzNDgwMTMwODEifQ==</vt:lpwstr>
  </property>
  <property fmtid="{D5CDD505-2E9C-101B-9397-08002B2CF9AE}" pid="3" name="KSOProductBuildVer">
    <vt:lpwstr>2052-12.1.0.26895</vt:lpwstr>
  </property>
  <property fmtid="{D5CDD505-2E9C-101B-9397-08002B2CF9AE}" pid="4" name="ICV">
    <vt:lpwstr>55DABCF4CE1D49E4ABF6FB00062FFE10_13</vt:lpwstr>
  </property>
  <property fmtid="{D5CDD505-2E9C-101B-9397-08002B2CF9AE}" pid="5" name="hmcheck_markmode">
    <vt:i4>0</vt:i4>
  </property>
  <property fmtid="{D5CDD505-2E9C-101B-9397-08002B2CF9AE}" pid="6" name="hmcheck_taskpanetype">
    <vt:i4>1</vt:i4>
  </property>
</Properties>
</file>