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4B3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hAnsi="Times New Roman" w:eastAsia="宋体" w:cs="Times New Roman"/>
          <w:b/>
          <w:color w:val="000000" w:themeColor="text1"/>
          <w:sz w:val="21"/>
          <w:szCs w:val="1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color w:val="000000" w:themeColor="text1"/>
          <w:sz w:val="21"/>
          <w:szCs w:val="18"/>
          <w:highlight w:val="none"/>
          <w14:textFill>
            <w14:solidFill>
              <w14:schemeClr w14:val="tx1"/>
            </w14:solidFill>
          </w14:textFill>
        </w:rPr>
        <w:t>表2</w:t>
      </w:r>
      <w:r>
        <w:rPr>
          <w:rFonts w:hint="default" w:ascii="Times New Roman" w:hAnsi="Times New Roman" w:eastAsia="宋体" w:cs="Times New Roman"/>
          <w:b/>
          <w:color w:val="000000" w:themeColor="text1"/>
          <w:sz w:val="21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b/>
          <w:color w:val="000000" w:themeColor="text1"/>
          <w:sz w:val="21"/>
          <w:szCs w:val="18"/>
          <w:highlight w:val="none"/>
          <w14:textFill>
            <w14:solidFill>
              <w14:schemeClr w14:val="tx1"/>
            </w14:solidFill>
          </w14:textFill>
        </w:rPr>
        <w:t>肺功能比较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1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ascii="Times New Roman" w:hAnsi="Times New Roman" w:eastAsia="宋体" w:cs="Times New Roman"/>
          <w:b/>
          <w:color w:val="000000" w:themeColor="text1"/>
          <w:sz w:val="21"/>
          <w:szCs w:val="18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1"/>
          <w:szCs w:val="21"/>
          <w:highlight w:val="none"/>
          <w:u w:val="none" w:color="auto"/>
          <w:shd w:val="clear" w:color="auto" w:fill="auto"/>
          <w14:textFill>
            <w14:solidFill>
              <w14:schemeClr w14:val="tx1"/>
            </w14:solidFill>
          </w14:textFill>
        </w:rPr>
        <w:sym w:font="Symbol" w:char="0060"/>
      </w:r>
      <w:r>
        <w:rPr>
          <w:rFonts w:hint="default" w:ascii="Times New Roman" w:hAnsi="Times New Roman" w:eastAsia="宋体" w:cs="Times New Roman"/>
          <w:b/>
          <w:bCs/>
          <w:i/>
          <w:iCs/>
          <w:color w:val="000000" w:themeColor="text1"/>
          <w:sz w:val="21"/>
          <w:szCs w:val="21"/>
          <w:highlight w:val="none"/>
          <w:u w:val="none" w:color="auto"/>
          <w:shd w:val="clear" w:color="auto" w:fill="auto"/>
          <w14:textFill>
            <w14:solidFill>
              <w14:schemeClr w14:val="tx1"/>
            </w14:solidFill>
          </w14:textFill>
        </w:rPr>
        <w:t>x±s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olor w:val="000000" w:themeColor="text1"/>
          <w:sz w:val="21"/>
          <w:szCs w:val="21"/>
          <w:highlight w:val="none"/>
          <w:u w:val="none" w:color="auto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宋体" w:cs="Times New Roman"/>
          <w:b/>
          <w:i/>
          <w:iCs/>
          <w:color w:val="000000" w:themeColor="text1"/>
          <w:sz w:val="21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  <w:t>n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1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  <w:t>=48</w:t>
      </w:r>
      <w:r>
        <w:rPr>
          <w:rFonts w:ascii="Times New Roman" w:hAnsi="Times New Roman" w:eastAsia="宋体" w:cs="Times New Roman"/>
          <w:b/>
          <w:color w:val="000000" w:themeColor="text1"/>
          <w:sz w:val="21"/>
          <w:szCs w:val="18"/>
          <w:highlight w:val="none"/>
          <w14:textFill>
            <w14:solidFill>
              <w14:schemeClr w14:val="tx1"/>
            </w14:solidFill>
          </w14:textFill>
        </w:rPr>
        <w:t>）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1192"/>
        <w:gridCol w:w="1336"/>
        <w:gridCol w:w="1186"/>
        <w:gridCol w:w="1388"/>
        <w:gridCol w:w="1186"/>
        <w:gridCol w:w="1306"/>
        <w:gridCol w:w="1176"/>
        <w:gridCol w:w="1244"/>
      </w:tblGrid>
      <w:tr w14:paraId="45CC5B1B">
        <w:trPr>
          <w:jc w:val="center"/>
        </w:trPr>
        <w:tc>
          <w:tcPr>
            <w:tcW w:w="921" w:type="dxa"/>
            <w:vMerge w:val="restart"/>
            <w:tcBorders>
              <w:top w:val="single" w:color="auto" w:sz="12" w:space="0"/>
            </w:tcBorders>
            <w:vAlign w:val="center"/>
          </w:tcPr>
          <w:p w14:paraId="676BC8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组别</w:t>
            </w:r>
          </w:p>
        </w:tc>
        <w:tc>
          <w:tcPr>
            <w:tcW w:w="2528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6D0A0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FVC(%预计值)</w:t>
            </w:r>
          </w:p>
        </w:tc>
        <w:tc>
          <w:tcPr>
            <w:tcW w:w="2574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6AC06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FEV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 w:val="21"/>
                <w:szCs w:val="18"/>
                <w:highlight w:val="none"/>
                <w:vertAlign w:val="subscript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(%预计值)</w:t>
            </w:r>
          </w:p>
        </w:tc>
        <w:tc>
          <w:tcPr>
            <w:tcW w:w="2492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F45F6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1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DLCO</w:t>
            </w: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kern w:val="0"/>
                <w:sz w:val="21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/[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mL/</w:t>
            </w: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kern w:val="0"/>
                <w:sz w:val="21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min</w:t>
            </w: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•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mmHg)</w:t>
            </w: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kern w:val="0"/>
                <w:sz w:val="21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]</w:t>
            </w:r>
          </w:p>
        </w:tc>
        <w:tc>
          <w:tcPr>
            <w:tcW w:w="2420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2F900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FEV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 w:val="21"/>
                <w:szCs w:val="18"/>
                <w:highlight w:val="none"/>
                <w:vertAlign w:val="subscript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/FVC(%)</w:t>
            </w:r>
          </w:p>
        </w:tc>
      </w:tr>
      <w:tr w14:paraId="348D3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" w:type="dxa"/>
            <w:vMerge w:val="continue"/>
            <w:tcBorders>
              <w:bottom w:val="single" w:color="auto" w:sz="4" w:space="0"/>
            </w:tcBorders>
            <w:vAlign w:val="center"/>
          </w:tcPr>
          <w:p w14:paraId="329A1F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4C5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治疗前</w:t>
            </w:r>
          </w:p>
        </w:tc>
        <w:tc>
          <w:tcPr>
            <w:tcW w:w="13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44DE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治疗24周后</w:t>
            </w:r>
          </w:p>
        </w:tc>
        <w:tc>
          <w:tcPr>
            <w:tcW w:w="11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EE1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治疗前</w:t>
            </w:r>
          </w:p>
        </w:tc>
        <w:tc>
          <w:tcPr>
            <w:tcW w:w="13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92F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治疗24周后</w:t>
            </w:r>
          </w:p>
        </w:tc>
        <w:tc>
          <w:tcPr>
            <w:tcW w:w="11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EDF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治疗前</w:t>
            </w:r>
          </w:p>
        </w:tc>
        <w:tc>
          <w:tcPr>
            <w:tcW w:w="13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593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治疗24周后</w:t>
            </w:r>
          </w:p>
        </w:tc>
        <w:tc>
          <w:tcPr>
            <w:tcW w:w="11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586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治疗前</w:t>
            </w:r>
          </w:p>
        </w:tc>
        <w:tc>
          <w:tcPr>
            <w:tcW w:w="12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7CC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治疗24周后</w:t>
            </w:r>
          </w:p>
        </w:tc>
      </w:tr>
      <w:tr w14:paraId="15951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21" w:type="dxa"/>
            <w:tcBorders>
              <w:top w:val="single" w:color="auto" w:sz="4" w:space="0"/>
            </w:tcBorders>
            <w:vAlign w:val="center"/>
          </w:tcPr>
          <w:p w14:paraId="2AC9C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试验组</w:t>
            </w:r>
          </w:p>
        </w:tc>
        <w:tc>
          <w:tcPr>
            <w:tcW w:w="1192" w:type="dxa"/>
            <w:tcBorders>
              <w:top w:val="single" w:color="auto" w:sz="4" w:space="0"/>
            </w:tcBorders>
            <w:vAlign w:val="center"/>
          </w:tcPr>
          <w:p w14:paraId="745B9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62.34±8.45</w:t>
            </w:r>
          </w:p>
        </w:tc>
        <w:tc>
          <w:tcPr>
            <w:tcW w:w="1336" w:type="dxa"/>
            <w:tcBorders>
              <w:top w:val="single" w:color="auto" w:sz="4" w:space="0"/>
            </w:tcBorders>
            <w:vAlign w:val="center"/>
          </w:tcPr>
          <w:p w14:paraId="7D4F68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68.92±9.12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186" w:type="dxa"/>
            <w:tcBorders>
              <w:top w:val="single" w:color="auto" w:sz="4" w:space="0"/>
            </w:tcBorders>
            <w:vAlign w:val="center"/>
          </w:tcPr>
          <w:p w14:paraId="5A6093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48.23±7.12</w:t>
            </w:r>
          </w:p>
        </w:tc>
        <w:tc>
          <w:tcPr>
            <w:tcW w:w="1388" w:type="dxa"/>
            <w:tcBorders>
              <w:top w:val="single" w:color="auto" w:sz="4" w:space="0"/>
            </w:tcBorders>
            <w:vAlign w:val="center"/>
          </w:tcPr>
          <w:p w14:paraId="1785E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54.67±7.89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186" w:type="dxa"/>
            <w:tcBorders>
              <w:top w:val="single" w:color="auto" w:sz="4" w:space="0"/>
            </w:tcBorders>
            <w:vAlign w:val="center"/>
          </w:tcPr>
          <w:p w14:paraId="23808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45.12±6.78</w:t>
            </w:r>
          </w:p>
        </w:tc>
        <w:tc>
          <w:tcPr>
            <w:tcW w:w="1306" w:type="dxa"/>
            <w:tcBorders>
              <w:top w:val="single" w:color="auto" w:sz="4" w:space="0"/>
            </w:tcBorders>
            <w:vAlign w:val="center"/>
          </w:tcPr>
          <w:p w14:paraId="24A0E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52.34±7.45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176" w:type="dxa"/>
            <w:tcBorders>
              <w:top w:val="single" w:color="auto" w:sz="4" w:space="0"/>
            </w:tcBorders>
            <w:vAlign w:val="center"/>
          </w:tcPr>
          <w:p w14:paraId="72A87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52.34±5.67</w:t>
            </w:r>
          </w:p>
        </w:tc>
        <w:tc>
          <w:tcPr>
            <w:tcW w:w="1244" w:type="dxa"/>
            <w:tcBorders>
              <w:top w:val="single" w:color="auto" w:sz="4" w:space="0"/>
            </w:tcBorders>
            <w:vAlign w:val="center"/>
          </w:tcPr>
          <w:p w14:paraId="32F20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58.92±6.23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</w:tr>
      <w:tr w14:paraId="3AD28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" w:type="dxa"/>
            <w:vAlign w:val="center"/>
          </w:tcPr>
          <w:p w14:paraId="641595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对照组</w:t>
            </w:r>
          </w:p>
        </w:tc>
        <w:tc>
          <w:tcPr>
            <w:tcW w:w="1192" w:type="dxa"/>
            <w:vAlign w:val="center"/>
          </w:tcPr>
          <w:p w14:paraId="69D7E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61.89±8.67</w:t>
            </w:r>
          </w:p>
        </w:tc>
        <w:tc>
          <w:tcPr>
            <w:tcW w:w="1336" w:type="dxa"/>
            <w:vAlign w:val="center"/>
          </w:tcPr>
          <w:p w14:paraId="47C05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64.78±8.89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186" w:type="dxa"/>
            <w:vAlign w:val="center"/>
          </w:tcPr>
          <w:p w14:paraId="51113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47.89±7.34</w:t>
            </w:r>
          </w:p>
        </w:tc>
        <w:tc>
          <w:tcPr>
            <w:tcW w:w="1388" w:type="dxa"/>
            <w:vAlign w:val="center"/>
          </w:tcPr>
          <w:p w14:paraId="335E5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50.12±7.45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186" w:type="dxa"/>
            <w:vAlign w:val="center"/>
          </w:tcPr>
          <w:p w14:paraId="2400A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44.89±6.92</w:t>
            </w:r>
          </w:p>
        </w:tc>
        <w:tc>
          <w:tcPr>
            <w:tcW w:w="1306" w:type="dxa"/>
            <w:vAlign w:val="center"/>
          </w:tcPr>
          <w:p w14:paraId="16B69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48.67±7.12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176" w:type="dxa"/>
            <w:vAlign w:val="center"/>
          </w:tcPr>
          <w:p w14:paraId="5B011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52.12±5.89</w:t>
            </w:r>
          </w:p>
        </w:tc>
        <w:tc>
          <w:tcPr>
            <w:tcW w:w="1244" w:type="dxa"/>
            <w:vAlign w:val="center"/>
          </w:tcPr>
          <w:p w14:paraId="3C747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54.78±6.12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</w:tr>
      <w:tr w14:paraId="6E1C6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" w:type="dxa"/>
            <w:vAlign w:val="center"/>
          </w:tcPr>
          <w:p w14:paraId="0C0DD9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317" w:leftChars="38" w:hanging="237" w:hangingChars="113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t</w:t>
            </w:r>
          </w:p>
        </w:tc>
        <w:tc>
          <w:tcPr>
            <w:tcW w:w="1192" w:type="dxa"/>
            <w:vAlign w:val="center"/>
          </w:tcPr>
          <w:p w14:paraId="798E1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0.263</w:t>
            </w:r>
          </w:p>
        </w:tc>
        <w:tc>
          <w:tcPr>
            <w:tcW w:w="1336" w:type="dxa"/>
            <w:vAlign w:val="center"/>
          </w:tcPr>
          <w:p w14:paraId="3A003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2.274</w:t>
            </w:r>
          </w:p>
        </w:tc>
        <w:tc>
          <w:tcPr>
            <w:tcW w:w="1186" w:type="dxa"/>
            <w:vAlign w:val="center"/>
          </w:tcPr>
          <w:p w14:paraId="30B863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0.235</w:t>
            </w:r>
          </w:p>
        </w:tc>
        <w:tc>
          <w:tcPr>
            <w:tcW w:w="1388" w:type="dxa"/>
            <w:vAlign w:val="center"/>
          </w:tcPr>
          <w:p w14:paraId="7E550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2.897</w:t>
            </w:r>
          </w:p>
        </w:tc>
        <w:tc>
          <w:tcPr>
            <w:tcW w:w="1186" w:type="dxa"/>
            <w:vAlign w:val="center"/>
          </w:tcPr>
          <w:p w14:paraId="2AB0C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0.167</w:t>
            </w:r>
          </w:p>
        </w:tc>
        <w:tc>
          <w:tcPr>
            <w:tcW w:w="1306" w:type="dxa"/>
            <w:vAlign w:val="center"/>
          </w:tcPr>
          <w:p w14:paraId="0A15E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2.452</w:t>
            </w:r>
          </w:p>
        </w:tc>
        <w:tc>
          <w:tcPr>
            <w:tcW w:w="1176" w:type="dxa"/>
            <w:vAlign w:val="center"/>
          </w:tcPr>
          <w:p w14:paraId="177C3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0.191</w:t>
            </w:r>
          </w:p>
        </w:tc>
        <w:tc>
          <w:tcPr>
            <w:tcW w:w="1244" w:type="dxa"/>
            <w:vAlign w:val="center"/>
          </w:tcPr>
          <w:p w14:paraId="69132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3.342</w:t>
            </w:r>
          </w:p>
        </w:tc>
      </w:tr>
      <w:tr w14:paraId="14B6B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" w:type="dxa"/>
            <w:tcBorders>
              <w:bottom w:val="single" w:color="auto" w:sz="12" w:space="0"/>
            </w:tcBorders>
            <w:vAlign w:val="center"/>
          </w:tcPr>
          <w:p w14:paraId="562BF2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317" w:leftChars="38" w:hanging="237" w:hangingChars="113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P</w:t>
            </w:r>
          </w:p>
        </w:tc>
        <w:tc>
          <w:tcPr>
            <w:tcW w:w="1192" w:type="dxa"/>
            <w:tcBorders>
              <w:bottom w:val="single" w:color="auto" w:sz="12" w:space="0"/>
            </w:tcBorders>
            <w:vAlign w:val="center"/>
          </w:tcPr>
          <w:p w14:paraId="4C4155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0.793</w:t>
            </w:r>
          </w:p>
        </w:tc>
        <w:tc>
          <w:tcPr>
            <w:tcW w:w="1336" w:type="dxa"/>
            <w:tcBorders>
              <w:bottom w:val="single" w:color="auto" w:sz="12" w:space="0"/>
            </w:tcBorders>
            <w:vAlign w:val="center"/>
          </w:tcPr>
          <w:p w14:paraId="4C3CF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0.025</w:t>
            </w:r>
          </w:p>
        </w:tc>
        <w:tc>
          <w:tcPr>
            <w:tcW w:w="1186" w:type="dxa"/>
            <w:tcBorders>
              <w:bottom w:val="single" w:color="auto" w:sz="12" w:space="0"/>
            </w:tcBorders>
            <w:vAlign w:val="center"/>
          </w:tcPr>
          <w:p w14:paraId="6C9B1B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0.815</w:t>
            </w:r>
          </w:p>
        </w:tc>
        <w:tc>
          <w:tcPr>
            <w:tcW w:w="1388" w:type="dxa"/>
            <w:tcBorders>
              <w:bottom w:val="single" w:color="auto" w:sz="12" w:space="0"/>
            </w:tcBorders>
            <w:vAlign w:val="center"/>
          </w:tcPr>
          <w:p w14:paraId="003DA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0.005</w:t>
            </w:r>
          </w:p>
        </w:tc>
        <w:tc>
          <w:tcPr>
            <w:tcW w:w="1186" w:type="dxa"/>
            <w:tcBorders>
              <w:bottom w:val="single" w:color="auto" w:sz="12" w:space="0"/>
            </w:tcBorders>
            <w:vAlign w:val="center"/>
          </w:tcPr>
          <w:p w14:paraId="36E7C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0.868</w:t>
            </w:r>
          </w:p>
        </w:tc>
        <w:tc>
          <w:tcPr>
            <w:tcW w:w="1306" w:type="dxa"/>
            <w:tcBorders>
              <w:bottom w:val="single" w:color="auto" w:sz="12" w:space="0"/>
            </w:tcBorders>
            <w:vAlign w:val="center"/>
          </w:tcPr>
          <w:p w14:paraId="3ED73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0.016</w:t>
            </w:r>
          </w:p>
        </w:tc>
        <w:tc>
          <w:tcPr>
            <w:tcW w:w="1176" w:type="dxa"/>
            <w:tcBorders>
              <w:bottom w:val="single" w:color="auto" w:sz="12" w:space="0"/>
            </w:tcBorders>
            <w:vAlign w:val="center"/>
          </w:tcPr>
          <w:p w14:paraId="411FA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0.849</w:t>
            </w:r>
          </w:p>
        </w:tc>
        <w:tc>
          <w:tcPr>
            <w:tcW w:w="1244" w:type="dxa"/>
            <w:tcBorders>
              <w:bottom w:val="single" w:color="auto" w:sz="12" w:space="0"/>
            </w:tcBorders>
            <w:vAlign w:val="center"/>
          </w:tcPr>
          <w:p w14:paraId="12B87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0.001</w:t>
            </w:r>
          </w:p>
        </w:tc>
      </w:tr>
      <w:bookmarkEnd w:id="0"/>
    </w:tbl>
    <w:p w14:paraId="73046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 w:cs="Times New Roman"/>
          <w:color w:val="000000" w:themeColor="text1"/>
          <w:sz w:val="21"/>
          <w:szCs w:val="1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1"/>
          <w:szCs w:val="18"/>
          <w:highlight w:val="none"/>
          <w14:textFill>
            <w14:solidFill>
              <w14:schemeClr w14:val="tx1"/>
            </w14:solidFill>
          </w14:textFill>
        </w:rPr>
        <w:t>注：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18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组内</w:t>
      </w:r>
      <w:r>
        <w:rPr>
          <w:rFonts w:ascii="Times New Roman" w:hAnsi="Times New Roman" w:eastAsia="宋体" w:cs="Times New Roman"/>
          <w:color w:val="000000" w:themeColor="text1"/>
          <w:kern w:val="0"/>
          <w:sz w:val="21"/>
          <w:szCs w:val="18"/>
          <w:highlight w:val="none"/>
          <w14:textFill>
            <w14:solidFill>
              <w14:schemeClr w14:val="tx1"/>
            </w14:solidFill>
          </w14:textFill>
        </w:rPr>
        <w:t>治疗前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18"/>
          <w:highlight w:val="none"/>
          <w14:textFill>
            <w14:solidFill>
              <w14:schemeClr w14:val="tx1"/>
            </w14:solidFill>
          </w14:textFill>
        </w:rPr>
        <w:t>相比，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18"/>
          <w:highlight w:val="none"/>
          <w:vertAlign w:val="superscript"/>
          <w14:textFill>
            <w14:solidFill>
              <w14:schemeClr w14:val="tx1"/>
            </w14:solidFill>
          </w14:textFill>
        </w:rPr>
        <w:t>*</w:t>
      </w:r>
      <w:r>
        <w:rPr>
          <w:rFonts w:hint="default" w:ascii="Times New Roman" w:hAnsi="Times New Roman" w:eastAsia="宋体" w:cs="Times New Roman"/>
          <w:i/>
          <w:color w:val="000000" w:themeColor="text1"/>
          <w:sz w:val="21"/>
          <w:szCs w:val="18"/>
          <w:highlight w:val="none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18"/>
          <w:highlight w:val="none"/>
          <w14:textFill>
            <w14:solidFill>
              <w14:schemeClr w14:val="tx1"/>
            </w14:solidFill>
          </w14:textFill>
        </w:rPr>
        <w:t>＜0.05。</w:t>
      </w:r>
    </w:p>
    <w:p w14:paraId="1CB41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 w:hangingChars="200"/>
        <w:jc w:val="center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830"/>
    <w:rsid w:val="00085B25"/>
    <w:rsid w:val="000C6188"/>
    <w:rsid w:val="000F722F"/>
    <w:rsid w:val="00125FB0"/>
    <w:rsid w:val="0016730E"/>
    <w:rsid w:val="00413BC6"/>
    <w:rsid w:val="00654156"/>
    <w:rsid w:val="006A35B7"/>
    <w:rsid w:val="006C6DE2"/>
    <w:rsid w:val="0078768E"/>
    <w:rsid w:val="00791E39"/>
    <w:rsid w:val="00886BBB"/>
    <w:rsid w:val="008F71AD"/>
    <w:rsid w:val="009E457E"/>
    <w:rsid w:val="00AE7FDA"/>
    <w:rsid w:val="00C66A90"/>
    <w:rsid w:val="00D72A67"/>
    <w:rsid w:val="00E36830"/>
    <w:rsid w:val="00EC5C04"/>
    <w:rsid w:val="04BC223F"/>
    <w:rsid w:val="055E3DAF"/>
    <w:rsid w:val="0A9F4A68"/>
    <w:rsid w:val="0E0130FC"/>
    <w:rsid w:val="132D7709"/>
    <w:rsid w:val="1656044E"/>
    <w:rsid w:val="19261F89"/>
    <w:rsid w:val="1D4B6112"/>
    <w:rsid w:val="22F56BF1"/>
    <w:rsid w:val="24994D5F"/>
    <w:rsid w:val="2B110340"/>
    <w:rsid w:val="310B3A83"/>
    <w:rsid w:val="32943712"/>
    <w:rsid w:val="35572967"/>
    <w:rsid w:val="35EB79DF"/>
    <w:rsid w:val="36E70B6A"/>
    <w:rsid w:val="37D03E05"/>
    <w:rsid w:val="387463B2"/>
    <w:rsid w:val="39230716"/>
    <w:rsid w:val="3962445C"/>
    <w:rsid w:val="3C092323"/>
    <w:rsid w:val="3C2A44D4"/>
    <w:rsid w:val="3C5B2C6E"/>
    <w:rsid w:val="3C744159"/>
    <w:rsid w:val="3CA628B2"/>
    <w:rsid w:val="3CF90C34"/>
    <w:rsid w:val="3D751931"/>
    <w:rsid w:val="3EA1722B"/>
    <w:rsid w:val="3ECA0ADA"/>
    <w:rsid w:val="3F4B15B9"/>
    <w:rsid w:val="42144DD6"/>
    <w:rsid w:val="43E664C4"/>
    <w:rsid w:val="44105E97"/>
    <w:rsid w:val="44A07FC0"/>
    <w:rsid w:val="46F96400"/>
    <w:rsid w:val="48B52006"/>
    <w:rsid w:val="49FC7A95"/>
    <w:rsid w:val="4CD23F91"/>
    <w:rsid w:val="4E4D35C2"/>
    <w:rsid w:val="4F5148FF"/>
    <w:rsid w:val="50B45146"/>
    <w:rsid w:val="53980311"/>
    <w:rsid w:val="53AC3E4D"/>
    <w:rsid w:val="55552713"/>
    <w:rsid w:val="573269D3"/>
    <w:rsid w:val="59787C6F"/>
    <w:rsid w:val="5A8A3B11"/>
    <w:rsid w:val="5C1803DB"/>
    <w:rsid w:val="60873C64"/>
    <w:rsid w:val="62895FFC"/>
    <w:rsid w:val="683010FE"/>
    <w:rsid w:val="6D837910"/>
    <w:rsid w:val="6EED4EF8"/>
    <w:rsid w:val="70E402C9"/>
    <w:rsid w:val="758A62EE"/>
    <w:rsid w:val="797B7098"/>
    <w:rsid w:val="7DD268D1"/>
    <w:rsid w:val="7E8A512D"/>
    <w:rsid w:val="7E9B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13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3">
    <w:name w:val="标题 3 Char"/>
    <w:basedOn w:val="9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customStyle="1" w:styleId="14">
    <w:name w:val="ds-markdown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463</Words>
  <Characters>1381</Characters>
  <Lines>388</Lines>
  <Paragraphs>346</Paragraphs>
  <TotalTime>9</TotalTime>
  <ScaleCrop>false</ScaleCrop>
  <LinksUpToDate>false</LinksUpToDate>
  <CharactersWithSpaces>1418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2025-07-12T02:43:00Z</dcterms:created>
  <dc:creator>Windows 用户</dc:creator>
  <cp:lastModifiedBy>windy</cp:lastModifiedBy>
  <cp:lastPrinted>2025-09-18T02:14:00Z</cp:lastPrinted>
  <dcterms:modified xsi:type="dcterms:W3CDTF">2026-06-04T05:47:55Z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eyJoZGlkIjoiOTYyMWU1ZDU4MjhhODg2OTIyMmE5NjY0NWE4ZWQ2NjkiLCJ1c2VySWQiOiIzNDgwMTMwODEifQ==</vt:lpwstr>
  </property>
  <property fmtid="{D5CDD505-2E9C-101B-9397-08002B2CF9AE}" pid="3" name="KSOProductBuildVer">
    <vt:lpwstr>2052-12.1.0.26895</vt:lpwstr>
  </property>
  <property fmtid="{D5CDD505-2E9C-101B-9397-08002B2CF9AE}" pid="4" name="ICV">
    <vt:lpwstr>CD01247AAE154D89B6BE9D311CAF8E43_13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