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62F4">
      <w:pPr>
        <w:pStyle w:val="10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</w:pP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 xml:space="preserve">表4 </w:t>
      </w: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>针对性DVT预防措施</w:t>
      </w:r>
      <w:bookmarkStart w:id="0" w:name="_GoBack"/>
      <w:bookmarkEnd w:id="0"/>
    </w:p>
    <w:tbl>
      <w:tblPr>
        <w:tblStyle w:val="12"/>
        <w:tblW w:w="1336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2074"/>
        <w:gridCol w:w="5411"/>
        <w:gridCol w:w="4232"/>
      </w:tblGrid>
      <w:tr w14:paraId="73D013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4E088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独立危险</w:t>
            </w:r>
          </w:p>
          <w:p w14:paraId="2900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因素</w:t>
            </w:r>
          </w:p>
        </w:tc>
        <w:tc>
          <w:tcPr>
            <w:tcW w:w="20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B29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干预类别</w:t>
            </w:r>
          </w:p>
        </w:tc>
        <w:tc>
          <w:tcPr>
            <w:tcW w:w="541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A5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具体措施</w:t>
            </w:r>
          </w:p>
        </w:tc>
        <w:tc>
          <w:tcPr>
            <w:tcW w:w="42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16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实施要点</w:t>
            </w:r>
          </w:p>
        </w:tc>
      </w:tr>
      <w:tr w14:paraId="4E81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5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BMI</w:t>
            </w: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升高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E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eastAsia="zh-CN" w:bidi="ar"/>
              </w:rPr>
              <w:t>体质量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管理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3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/>
                <w:b w:val="0"/>
                <w:color w:val="auto"/>
                <w:szCs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1. 营养科会诊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制定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低热量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高蛋白饮食</w:t>
            </w:r>
          </w:p>
        </w:tc>
        <w:tc>
          <w:tcPr>
            <w:tcW w:w="423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B1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避免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快速减重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导致代谢紊乱；运动强度以心率增幅≤20%为宜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 w:bidi="ar"/>
              </w:rPr>
              <w:t>[11]</w:t>
            </w:r>
          </w:p>
        </w:tc>
      </w:tr>
      <w:tr w14:paraId="2D30E6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8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7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6A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2. 床上被动运动（踝泵、膝关节屈伸）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90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192CECA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1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0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6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3. 每日监测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eastAsia="zh-CN" w:bidi="ar"/>
              </w:rPr>
              <w:t>体质量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及腰臀比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96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5BF325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E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中心静脉置管</w:t>
            </w:r>
          </w:p>
        </w:tc>
        <w:tc>
          <w:tcPr>
            <w:tcW w:w="20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4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导管相关血栓预防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F9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1. 严格无菌操作及导管固定</w:t>
            </w:r>
          </w:p>
        </w:tc>
        <w:tc>
          <w:tcPr>
            <w:tcW w:w="4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9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优先选择颈内静脉路径；导管留置时间≤7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 xml:space="preserve"> d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；出现红肿疼痛时立即拔管并送检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 w:bidi="ar"/>
              </w:rPr>
              <w:t>[12]</w:t>
            </w:r>
          </w:p>
        </w:tc>
      </w:tr>
      <w:tr w14:paraId="4B3FC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F1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C2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8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2. 置管后6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h内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eastAsia="zh-CN" w:bidi="ar"/>
              </w:rPr>
              <w:t>进行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超声检查确认位置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1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5D48FE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91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57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ED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3. 每日评估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导管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必要性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F1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3FAE0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A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止血</w:t>
            </w: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药物</w:t>
            </w: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使用</w:t>
            </w:r>
          </w:p>
        </w:tc>
        <w:tc>
          <w:tcPr>
            <w:tcW w:w="20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1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凝血-纤溶平衡调控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89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 w:eastAsia="宋体" w:cs="Times New Roman"/>
                <w:b w:val="0"/>
                <w:color w:val="auto"/>
                <w:kern w:val="2"/>
                <w:sz w:val="21"/>
                <w:szCs w:val="21"/>
                <w:highlight w:val="none"/>
                <w:u w:color="auto"/>
                <w:shd w:val="clear" w:fill="auto"/>
                <w:lang w:val="en-US" w:eastAsia="zh-CN" w:bidi="ar-SA"/>
              </w:rPr>
              <w:t>1.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动态监测凝血功能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val="en-US" w:eastAsia="zh-CN" w:bidi="ar"/>
              </w:rPr>
              <w:t>[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凝血酶原时间（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val="en-US" w:eastAsia="zh-CN" w:bidi="ar"/>
              </w:rPr>
              <w:t>p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rothrombin time，PT）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、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活化部分凝血活酶时间（activated partial thromboplastin time，APTT）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、D-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二聚体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eastAsia="zh-CN" w:bidi="ar"/>
              </w:rPr>
              <w:t>]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 w:bidi="ar"/>
              </w:rPr>
              <w:t>[13]</w:t>
            </w:r>
          </w:p>
        </w:tc>
        <w:tc>
          <w:tcPr>
            <w:tcW w:w="4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E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抗凝时机需神经外科与血液科联合会诊；IPC每日使用≥18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 xml:space="preserve"> h</w:t>
            </w:r>
          </w:p>
        </w:tc>
      </w:tr>
      <w:tr w14:paraId="1C0C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18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73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7C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2. 联合间歇充气加压装置（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val="en-US" w:eastAsia="zh-CN" w:bidi="ar"/>
              </w:rPr>
              <w:t>i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ntermittent pneumatic compression device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eastAsia="zh-CN" w:bidi="ar"/>
              </w:rPr>
              <w:t>，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IPC）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7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214D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D1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ED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C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3. 出血稳定后24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 xml:space="preserve"> 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h启动低剂量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eastAsia="zh-CN" w:bidi="ar"/>
              </w:rPr>
              <w:t>抗凝治疗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19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1686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7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NIHSS评分高</w:t>
            </w:r>
          </w:p>
        </w:tc>
        <w:tc>
          <w:tcPr>
            <w:tcW w:w="20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4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神经功能保护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1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1. 体位管理（抬高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bidi="ar"/>
              </w:rPr>
              <w:t>下肢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20°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~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30°）</w:t>
            </w:r>
          </w:p>
        </w:tc>
        <w:tc>
          <w:tcPr>
            <w:tcW w:w="4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A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每2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val="en-US" w:eastAsia="zh-CN" w:bidi="ar"/>
              </w:rPr>
              <w:t>h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翻身一次预防压疮；康复训练前需经颅脑CT确认血肿无扩大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vertAlign w:val="superscript"/>
                <w:lang w:val="en-US" w:eastAsia="zh-CN" w:bidi="ar"/>
              </w:rPr>
              <w:t>[14]</w:t>
            </w:r>
          </w:p>
        </w:tc>
      </w:tr>
      <w:tr w14:paraId="1F7F58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A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0A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41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2. 梯度弹力袜（15</w:t>
            </w: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~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20 mmHg）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F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4C332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4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70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9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3. 早期床边康复评估</w:t>
            </w:r>
          </w:p>
        </w:tc>
        <w:tc>
          <w:tcPr>
            <w:tcW w:w="4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</w:p>
        </w:tc>
      </w:tr>
      <w:tr w14:paraId="392EC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242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bCs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多因素共存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4FF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多学科联合干预</w:t>
            </w:r>
          </w:p>
        </w:tc>
        <w:tc>
          <w:tcPr>
            <w:tcW w:w="541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B79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成立VTE防治小组（神经外科、康复科、药剂科）定期查房，制定个体化预防方案</w:t>
            </w:r>
          </w:p>
        </w:tc>
        <w:tc>
          <w:tcPr>
            <w:tcW w:w="423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E01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/>
                <w:b w:val="0"/>
                <w:color w:val="auto"/>
                <w:szCs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/>
                <w:b w:val="0"/>
                <w:color w:val="auto"/>
                <w:kern w:val="0"/>
                <w:szCs w:val="21"/>
                <w:highlight w:val="none"/>
                <w:u w:val="none" w:color="auto"/>
                <w:shd w:val="clear" w:fill="auto"/>
                <w:lang w:eastAsia="zh-CN" w:bidi="ar"/>
              </w:rPr>
              <w:t>每周开展</w:t>
            </w:r>
            <w:r>
              <w:rPr>
                <w:rFonts w:ascii="Times New Roman" w:hAnsi="Times New Roman"/>
                <w:b w:val="0"/>
                <w:color w:val="auto"/>
                <w:kern w:val="0"/>
                <w:szCs w:val="21"/>
                <w:highlight w:val="none"/>
                <w:u w:color="auto"/>
                <w:shd w:val="clear" w:fill="auto"/>
                <w:lang w:bidi="ar"/>
              </w:rPr>
              <w:t>1次多学科病例讨论，根据风险动态调整预防措施</w:t>
            </w:r>
          </w:p>
        </w:tc>
      </w:tr>
    </w:tbl>
    <w:p w14:paraId="3620B2F3">
      <w:pPr>
        <w:pStyle w:val="10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rPr>
          <w:rFonts w:hint="eastAsia" w:ascii="Times New Roman" w:hAnsi="Times New Roman"/>
          <w:color w:val="000000"/>
          <w:sz w:val="21"/>
          <w:szCs w:val="21"/>
          <w:u w:color="auto"/>
          <w:shd w:val="clear" w:fill="auto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3F76FF"/>
    <w:rsid w:val="004F2B16"/>
    <w:rsid w:val="005A61E0"/>
    <w:rsid w:val="005F1C4D"/>
    <w:rsid w:val="00692FA7"/>
    <w:rsid w:val="00751E5B"/>
    <w:rsid w:val="007E4E3A"/>
    <w:rsid w:val="00923242"/>
    <w:rsid w:val="00B0651A"/>
    <w:rsid w:val="00B92181"/>
    <w:rsid w:val="00C7080D"/>
    <w:rsid w:val="00D33D11"/>
    <w:rsid w:val="00DA5ED6"/>
    <w:rsid w:val="00DC0F37"/>
    <w:rsid w:val="00EE0F95"/>
    <w:rsid w:val="01D628BE"/>
    <w:rsid w:val="01E44FDB"/>
    <w:rsid w:val="02717D49"/>
    <w:rsid w:val="03082F4B"/>
    <w:rsid w:val="030D0562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A81F61"/>
    <w:rsid w:val="08AD3AB3"/>
    <w:rsid w:val="09A13679"/>
    <w:rsid w:val="0A383DC7"/>
    <w:rsid w:val="0A416ED4"/>
    <w:rsid w:val="0B6574A7"/>
    <w:rsid w:val="0B6E5916"/>
    <w:rsid w:val="0CF5527F"/>
    <w:rsid w:val="0E370B89"/>
    <w:rsid w:val="0E4A4418"/>
    <w:rsid w:val="0E6574A4"/>
    <w:rsid w:val="0E7512A8"/>
    <w:rsid w:val="0F55114D"/>
    <w:rsid w:val="0F582B65"/>
    <w:rsid w:val="0FE20680"/>
    <w:rsid w:val="10B93AD7"/>
    <w:rsid w:val="10F845FF"/>
    <w:rsid w:val="12105979"/>
    <w:rsid w:val="121511E1"/>
    <w:rsid w:val="1236436F"/>
    <w:rsid w:val="12E31897"/>
    <w:rsid w:val="13344AC3"/>
    <w:rsid w:val="14086AC1"/>
    <w:rsid w:val="146975C2"/>
    <w:rsid w:val="158E72E0"/>
    <w:rsid w:val="15D373E9"/>
    <w:rsid w:val="15D867AD"/>
    <w:rsid w:val="15E213DA"/>
    <w:rsid w:val="16C744A9"/>
    <w:rsid w:val="17927858"/>
    <w:rsid w:val="18644328"/>
    <w:rsid w:val="18FE29CF"/>
    <w:rsid w:val="190E279A"/>
    <w:rsid w:val="19A31B3A"/>
    <w:rsid w:val="19E3319A"/>
    <w:rsid w:val="1A4E5DC8"/>
    <w:rsid w:val="1BB77A4D"/>
    <w:rsid w:val="1CB3762C"/>
    <w:rsid w:val="1D621BCD"/>
    <w:rsid w:val="1D910152"/>
    <w:rsid w:val="1E7554E1"/>
    <w:rsid w:val="1EE929D6"/>
    <w:rsid w:val="1F57667D"/>
    <w:rsid w:val="1FC3402A"/>
    <w:rsid w:val="1FFE5062"/>
    <w:rsid w:val="20407429"/>
    <w:rsid w:val="20DA787E"/>
    <w:rsid w:val="210466A8"/>
    <w:rsid w:val="220A23E4"/>
    <w:rsid w:val="22124DF5"/>
    <w:rsid w:val="22505CF0"/>
    <w:rsid w:val="22F369D5"/>
    <w:rsid w:val="24083E07"/>
    <w:rsid w:val="243279D1"/>
    <w:rsid w:val="243E45C7"/>
    <w:rsid w:val="24A1035D"/>
    <w:rsid w:val="24F56A28"/>
    <w:rsid w:val="254F010E"/>
    <w:rsid w:val="258204E4"/>
    <w:rsid w:val="267A10FD"/>
    <w:rsid w:val="28017387"/>
    <w:rsid w:val="28041684"/>
    <w:rsid w:val="285048C9"/>
    <w:rsid w:val="28681C13"/>
    <w:rsid w:val="28ED036A"/>
    <w:rsid w:val="2A4F2220"/>
    <w:rsid w:val="2ABB0CC8"/>
    <w:rsid w:val="2ACC2D74"/>
    <w:rsid w:val="2B4F70BA"/>
    <w:rsid w:val="2BCA04EF"/>
    <w:rsid w:val="2BF043F9"/>
    <w:rsid w:val="2C056A84"/>
    <w:rsid w:val="2D652BC5"/>
    <w:rsid w:val="2D6C5871"/>
    <w:rsid w:val="2EEE5120"/>
    <w:rsid w:val="2F097580"/>
    <w:rsid w:val="307F5D4C"/>
    <w:rsid w:val="307F67E6"/>
    <w:rsid w:val="30FF0C3A"/>
    <w:rsid w:val="31F77B64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EA6701"/>
    <w:rsid w:val="3AF354DB"/>
    <w:rsid w:val="3B1E43B3"/>
    <w:rsid w:val="3B21299F"/>
    <w:rsid w:val="3B293484"/>
    <w:rsid w:val="3B2C7772"/>
    <w:rsid w:val="3B644CED"/>
    <w:rsid w:val="3C2B040C"/>
    <w:rsid w:val="3CB4494B"/>
    <w:rsid w:val="3CB66F99"/>
    <w:rsid w:val="3CE20909"/>
    <w:rsid w:val="3CF266EF"/>
    <w:rsid w:val="3DB31DBD"/>
    <w:rsid w:val="3E5325C6"/>
    <w:rsid w:val="3E592276"/>
    <w:rsid w:val="3F193A6C"/>
    <w:rsid w:val="3F4C7741"/>
    <w:rsid w:val="4050500F"/>
    <w:rsid w:val="40AA5295"/>
    <w:rsid w:val="40C12077"/>
    <w:rsid w:val="43291B47"/>
    <w:rsid w:val="44527DA5"/>
    <w:rsid w:val="44D336B9"/>
    <w:rsid w:val="459331E6"/>
    <w:rsid w:val="464623D8"/>
    <w:rsid w:val="472A3FE1"/>
    <w:rsid w:val="498A77E3"/>
    <w:rsid w:val="49EF3AEA"/>
    <w:rsid w:val="4A9106FD"/>
    <w:rsid w:val="4C52210E"/>
    <w:rsid w:val="4C861466"/>
    <w:rsid w:val="4CD11285"/>
    <w:rsid w:val="4D847445"/>
    <w:rsid w:val="4E127DA7"/>
    <w:rsid w:val="4E516B22"/>
    <w:rsid w:val="4EB42C0C"/>
    <w:rsid w:val="4EB470B0"/>
    <w:rsid w:val="4FAC4C70"/>
    <w:rsid w:val="50E7376D"/>
    <w:rsid w:val="513C7B90"/>
    <w:rsid w:val="51556929"/>
    <w:rsid w:val="51694182"/>
    <w:rsid w:val="51764AF1"/>
    <w:rsid w:val="51D20CF9"/>
    <w:rsid w:val="51FD5CBA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96A30C0"/>
    <w:rsid w:val="5A181C21"/>
    <w:rsid w:val="5A4532B2"/>
    <w:rsid w:val="5A92474A"/>
    <w:rsid w:val="5B991B08"/>
    <w:rsid w:val="5BB53F41"/>
    <w:rsid w:val="5D3A2E77"/>
    <w:rsid w:val="5D3E67BD"/>
    <w:rsid w:val="5D4453CE"/>
    <w:rsid w:val="5DF0374E"/>
    <w:rsid w:val="5E361890"/>
    <w:rsid w:val="5EA42C9D"/>
    <w:rsid w:val="5EF96ACA"/>
    <w:rsid w:val="60133DEA"/>
    <w:rsid w:val="60182E76"/>
    <w:rsid w:val="60365B77"/>
    <w:rsid w:val="60CF0AEF"/>
    <w:rsid w:val="60EC6236"/>
    <w:rsid w:val="614242D3"/>
    <w:rsid w:val="61FC27E3"/>
    <w:rsid w:val="621719D8"/>
    <w:rsid w:val="6240179C"/>
    <w:rsid w:val="62406729"/>
    <w:rsid w:val="63715118"/>
    <w:rsid w:val="664D59C9"/>
    <w:rsid w:val="66BC48FC"/>
    <w:rsid w:val="67BA08E3"/>
    <w:rsid w:val="684E77D6"/>
    <w:rsid w:val="686F0ED6"/>
    <w:rsid w:val="693B4DCA"/>
    <w:rsid w:val="69F033D9"/>
    <w:rsid w:val="6A413A96"/>
    <w:rsid w:val="6B2F7D93"/>
    <w:rsid w:val="6C3D64DF"/>
    <w:rsid w:val="6C895281"/>
    <w:rsid w:val="6D5533B5"/>
    <w:rsid w:val="6D6D5EDB"/>
    <w:rsid w:val="6DB4632D"/>
    <w:rsid w:val="700F364C"/>
    <w:rsid w:val="71024524"/>
    <w:rsid w:val="72171CB7"/>
    <w:rsid w:val="733C4DFB"/>
    <w:rsid w:val="746D7236"/>
    <w:rsid w:val="749C79EF"/>
    <w:rsid w:val="74B66E2F"/>
    <w:rsid w:val="75674459"/>
    <w:rsid w:val="75F51E47"/>
    <w:rsid w:val="75FF40B0"/>
    <w:rsid w:val="776D5ECB"/>
    <w:rsid w:val="77DF645E"/>
    <w:rsid w:val="78AC47D1"/>
    <w:rsid w:val="79043027"/>
    <w:rsid w:val="79404F19"/>
    <w:rsid w:val="7AF13D30"/>
    <w:rsid w:val="7B332F87"/>
    <w:rsid w:val="7D967F75"/>
    <w:rsid w:val="7E307C52"/>
    <w:rsid w:val="7E3C65F7"/>
    <w:rsid w:val="7EFE177D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2"/>
    <w:qFormat/>
    <w:uiPriority w:val="0"/>
    <w:pPr>
      <w:jc w:val="left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annotation subject"/>
    <w:basedOn w:val="7"/>
    <w:next w:val="7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文字 字符"/>
    <w:basedOn w:val="14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1912</Characters>
  <Lines>92</Lines>
  <Paragraphs>26</Paragraphs>
  <TotalTime>7</TotalTime>
  <ScaleCrop>false</ScaleCrop>
  <LinksUpToDate>false</LinksUpToDate>
  <CharactersWithSpaces>1988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2025-05-10T01:17:00Z</dcterms:created>
  <dc:creator>Administrator</dc:creator>
  <cp:lastModifiedBy>windy</cp:lastModifiedBy>
  <cp:lastPrinted>2025-06-05T08:13:00Z</cp:lastPrinted>
  <dcterms:modified xsi:type="dcterms:W3CDTF">2026-04-13T09:08:16Z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3C96BCDDF2C1450FACBA42BAE9B8A287_13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