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AC38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bCs/>
          <w:color w:val="auto"/>
          <w:sz w:val="24"/>
          <w:szCs w:val="18"/>
          <w:highlight w:val="none"/>
        </w:rPr>
      </w:pPr>
      <w:r>
        <w:rPr>
          <w:rFonts w:hint="eastAsia" w:ascii="Times New Roman" w:hAnsi="Times New Roman" w:eastAsia="宋体" w:cs="黑体"/>
          <w:b/>
          <w:bCs/>
          <w:color w:val="auto"/>
          <w:sz w:val="24"/>
          <w:szCs w:val="18"/>
          <w:highlight w:val="none"/>
        </w:rPr>
        <w:t>表4</w:t>
      </w:r>
      <w:r>
        <w:rPr>
          <w:rFonts w:hint="eastAsia" w:ascii="Times New Roman" w:hAnsi="Times New Roman" w:eastAsia="宋体" w:cs="宋体"/>
          <w:b/>
          <w:bCs/>
          <w:color w:val="auto"/>
          <w:sz w:val="24"/>
          <w:szCs w:val="18"/>
          <w:highlight w:val="none"/>
        </w:rPr>
        <w:t xml:space="preserve"> 护士的护理伦理敏感性影响因素的</w:t>
      </w:r>
      <w:r>
        <w:rPr>
          <w:rFonts w:ascii="Times New Roman" w:hAnsi="Times New Roman" w:eastAsia="宋体" w:cs="Times New Roman"/>
          <w:b/>
          <w:bCs/>
          <w:color w:val="auto"/>
          <w:sz w:val="24"/>
          <w:szCs w:val="18"/>
          <w:highlight w:val="none"/>
        </w:rPr>
        <w:t>Meta</w:t>
      </w:r>
      <w:r>
        <w:rPr>
          <w:rFonts w:hint="eastAsia" w:ascii="Times New Roman" w:hAnsi="Times New Roman" w:eastAsia="宋体" w:cs="宋体"/>
          <w:b/>
          <w:bCs/>
          <w:color w:val="auto"/>
          <w:sz w:val="24"/>
          <w:szCs w:val="18"/>
          <w:highlight w:val="none"/>
        </w:rPr>
        <w:t>分析</w:t>
      </w:r>
    </w:p>
    <w:tbl>
      <w:tblPr>
        <w:tblStyle w:val="9"/>
        <w:tblW w:w="10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606"/>
        <w:gridCol w:w="904"/>
        <w:gridCol w:w="1032"/>
        <w:gridCol w:w="1184"/>
        <w:gridCol w:w="848"/>
        <w:gridCol w:w="1352"/>
        <w:gridCol w:w="768"/>
        <w:gridCol w:w="1029"/>
      </w:tblGrid>
      <w:tr w14:paraId="260A5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3" w:hRule="atLeast"/>
          <w:jc w:val="center"/>
        </w:trPr>
        <w:tc>
          <w:tcPr>
            <w:tcW w:w="1712" w:type="dxa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62F491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影响因素</w:t>
            </w:r>
          </w:p>
        </w:tc>
        <w:tc>
          <w:tcPr>
            <w:tcW w:w="1606" w:type="dxa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EA286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11"/>
                <w:kern w:val="0"/>
                <w:sz w:val="24"/>
                <w:szCs w:val="18"/>
                <w:highlight w:val="none"/>
              </w:rPr>
              <w:t>纳入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研究</w:t>
            </w:r>
          </w:p>
        </w:tc>
        <w:tc>
          <w:tcPr>
            <w:tcW w:w="1936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FC91A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异质性检验</w:t>
            </w:r>
          </w:p>
        </w:tc>
        <w:tc>
          <w:tcPr>
            <w:tcW w:w="1184" w:type="dxa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05029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效应模型</w:t>
            </w:r>
          </w:p>
        </w:tc>
        <w:tc>
          <w:tcPr>
            <w:tcW w:w="3997" w:type="dxa"/>
            <w:gridSpan w:val="4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253B2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合并效应量</w:t>
            </w:r>
          </w:p>
        </w:tc>
      </w:tr>
      <w:tr w14:paraId="412AD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712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B24DD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EF2A4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4D553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4"/>
                <w:szCs w:val="18"/>
                <w:highlight w:val="none"/>
              </w:rPr>
              <w:t>I</w:t>
            </w: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4"/>
                <w:szCs w:val="18"/>
                <w:highlight w:val="none"/>
                <w:vertAlign w:val="superscript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（%）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61279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4"/>
                <w:szCs w:val="18"/>
                <w:highlight w:val="none"/>
              </w:rPr>
              <w:t>P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6A077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26E83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4"/>
                <w:szCs w:val="18"/>
                <w:highlight w:val="none"/>
              </w:rPr>
              <w:t>OR</w:t>
            </w:r>
          </w:p>
        </w:tc>
        <w:tc>
          <w:tcPr>
            <w:tcW w:w="1352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428F1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95%</w:t>
            </w: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4"/>
                <w:szCs w:val="18"/>
                <w:highlight w:val="none"/>
              </w:rPr>
              <w:t>CI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702D8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4"/>
                <w:szCs w:val="18"/>
                <w:highlight w:val="none"/>
              </w:rPr>
              <w:t>Z</w:t>
            </w:r>
          </w:p>
        </w:tc>
        <w:tc>
          <w:tcPr>
            <w:tcW w:w="1029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A58A7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4"/>
                <w:szCs w:val="18"/>
                <w:highlight w:val="none"/>
              </w:rPr>
              <w:t>P</w:t>
            </w:r>
          </w:p>
        </w:tc>
      </w:tr>
      <w:tr w14:paraId="7D3FD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5AD8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年龄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FB4A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vertAlign w:val="superscript"/>
              </w:rPr>
              <w:t>[24, 27]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D494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0.0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0564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0.992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29B7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固定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AEC6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2.78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1A5B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1.45~5.33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E32F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3.09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FF72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0.002</w:t>
            </w:r>
          </w:p>
        </w:tc>
      </w:tr>
      <w:tr w14:paraId="0FB59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E24F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工作年限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D5E0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5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vertAlign w:val="superscript"/>
              </w:rPr>
              <w:t>[17, 19, 24, 27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vertAlign w:val="superscript"/>
              </w:rPr>
              <w:t>-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vertAlign w:val="superscript"/>
              </w:rPr>
              <w:t xml:space="preserve"> 28]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A961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79.6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A983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0.001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9594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随机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01C4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3.55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7ABA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1.35~9.33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C79D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2.57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F259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0.010</w:t>
            </w:r>
          </w:p>
        </w:tc>
      </w:tr>
      <w:tr w14:paraId="5DE61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BC08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共情能力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3831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4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vertAlign w:val="superscript"/>
              </w:rPr>
              <w:t>[19, 24, 27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vertAlign w:val="superscript"/>
              </w:rPr>
              <w:t>-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vertAlign w:val="superscript"/>
              </w:rPr>
              <w:t>28]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F1A5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88.5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E693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sz w:val="24"/>
                <w:szCs w:val="18"/>
                <w:highlight w:val="none"/>
              </w:rPr>
              <w:t>&lt;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0.001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7A8C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随机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727D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1.35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C69E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1.01~1.80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23AA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2.05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DD2F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0.041</w:t>
            </w:r>
          </w:p>
        </w:tc>
      </w:tr>
      <w:tr w14:paraId="4C599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7514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工作场所氛围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4C5D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3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vertAlign w:val="superscript"/>
              </w:rPr>
              <w:t>[17, 21, 28]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164E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90.7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8D5F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sz w:val="24"/>
                <w:szCs w:val="18"/>
                <w:highlight w:val="none"/>
              </w:rPr>
              <w:t>&lt;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0.001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B777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随机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C78A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1.38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43A3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0.42~4.51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FC3B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0.54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4402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0.024</w:t>
            </w:r>
          </w:p>
        </w:tc>
      </w:tr>
      <w:tr w14:paraId="60C8D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3FA3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职称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E778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vertAlign w:val="superscript"/>
              </w:rPr>
              <w:t>[24, 27]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0B81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67.4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83DF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0.080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DF7A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随机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0B3E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1.85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B869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0.60~5.76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C9AA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1.07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48DC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0.287</w:t>
            </w:r>
          </w:p>
        </w:tc>
      </w:tr>
      <w:tr w14:paraId="19066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91AA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工作嵌入量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0780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vertAlign w:val="superscript"/>
              </w:rPr>
              <w:t>[17, 24]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4F76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90.9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12FD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0.001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BA0B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随机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D8A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3.60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AA6C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0.40~32.84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54EB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1.14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B804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0.046</w:t>
            </w:r>
          </w:p>
        </w:tc>
      </w:tr>
      <w:tr w14:paraId="19594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0BDD5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伦理知识教育</w:t>
            </w:r>
          </w:p>
        </w:tc>
        <w:tc>
          <w:tcPr>
            <w:tcW w:w="160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CEDC2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vertAlign w:val="superscript"/>
              </w:rPr>
              <w:t>[27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vertAlign w:val="superscript"/>
              </w:rPr>
              <w:t>-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vertAlign w:val="superscript"/>
              </w:rPr>
              <w:t>28]</w:t>
            </w:r>
          </w:p>
        </w:tc>
        <w:tc>
          <w:tcPr>
            <w:tcW w:w="90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33379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56.7</w:t>
            </w: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AD4F8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0.129</w:t>
            </w:r>
          </w:p>
        </w:tc>
        <w:tc>
          <w:tcPr>
            <w:tcW w:w="118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FB378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随机</w:t>
            </w:r>
          </w:p>
        </w:tc>
        <w:tc>
          <w:tcPr>
            <w:tcW w:w="84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33856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14.6</w:t>
            </w:r>
          </w:p>
        </w:tc>
        <w:tc>
          <w:tcPr>
            <w:tcW w:w="135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FCA2D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4.24~50.32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1FF8C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4.25</w:t>
            </w:r>
          </w:p>
        </w:tc>
        <w:tc>
          <w:tcPr>
            <w:tcW w:w="102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86AE0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sz w:val="24"/>
                <w:szCs w:val="18"/>
                <w:highlight w:val="none"/>
              </w:rPr>
              <w:t>&lt;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</w:rPr>
              <w:t>0.001</w:t>
            </w:r>
          </w:p>
        </w:tc>
      </w:tr>
    </w:tbl>
    <w:p w14:paraId="385831D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center"/>
        <w:textAlignment w:val="auto"/>
        <w:rPr>
          <w:rFonts w:ascii="Times New Roman" w:hAnsi="Times New Roman" w:eastAsia="宋体" w:cs="Times New Roman"/>
          <w:b/>
          <w:bCs/>
          <w:color w:val="auto"/>
          <w:sz w:val="24"/>
          <w:szCs w:val="21"/>
          <w:highlight w:val="none"/>
        </w:rPr>
      </w:pPr>
      <w:bookmarkStart w:id="0" w:name="PageNo8"/>
    </w:p>
    <w:bookmarkEnd w:id="0"/>
    <w:p w14:paraId="26752A99">
      <w:pPr>
        <w:pStyle w:val="2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center"/>
        <w:textAlignment w:val="auto"/>
        <w:rPr>
          <w:rFonts w:hint="eastAsia" w:ascii="Times New Roman" w:hAnsi="Times New Roman" w:eastAsia="宋体"/>
          <w:color w:val="auto"/>
          <w:sz w:val="24"/>
          <w:highlight w:val="none"/>
          <w:lang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mZWIzNDg2MmIzZjExOTIzMmViNTBmYTMwYTk0ZWY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hinese Std GBT7714 (numeric)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wpazpdxo022t1ewzvmx0ve0zwvs2axxe0s2&quot;&gt;伦理meta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4&lt;/item&gt;&lt;item&gt;25&lt;/item&gt;&lt;item&gt;26&lt;/item&gt;&lt;item&gt;27&lt;/item&gt;&lt;item&gt;28&lt;/item&gt;&lt;item&gt;29&lt;/item&gt;&lt;item&gt;30&lt;/item&gt;&lt;item&gt;31&lt;/item&gt;&lt;item&gt;33&lt;/item&gt;&lt;/record-ids&gt;&lt;/item&gt;&lt;/Libraries&gt;"/>
  </w:docVars>
  <w:rsids>
    <w:rsidRoot w:val="009D0736"/>
    <w:rsid w:val="000128AF"/>
    <w:rsid w:val="00016397"/>
    <w:rsid w:val="00037E49"/>
    <w:rsid w:val="00053A42"/>
    <w:rsid w:val="000A31D8"/>
    <w:rsid w:val="000A3E15"/>
    <w:rsid w:val="000E667F"/>
    <w:rsid w:val="00154A4C"/>
    <w:rsid w:val="001579BD"/>
    <w:rsid w:val="001903AD"/>
    <w:rsid w:val="001B7FC4"/>
    <w:rsid w:val="001D2F22"/>
    <w:rsid w:val="00231A1A"/>
    <w:rsid w:val="002342D6"/>
    <w:rsid w:val="002366DA"/>
    <w:rsid w:val="0026632F"/>
    <w:rsid w:val="002713DC"/>
    <w:rsid w:val="0029374C"/>
    <w:rsid w:val="00293D0B"/>
    <w:rsid w:val="002A2DAA"/>
    <w:rsid w:val="00311201"/>
    <w:rsid w:val="00316F4C"/>
    <w:rsid w:val="0033365A"/>
    <w:rsid w:val="003475E1"/>
    <w:rsid w:val="003A12B1"/>
    <w:rsid w:val="003B55A1"/>
    <w:rsid w:val="003D4FF6"/>
    <w:rsid w:val="003D6DC8"/>
    <w:rsid w:val="00417235"/>
    <w:rsid w:val="00431B25"/>
    <w:rsid w:val="004522CA"/>
    <w:rsid w:val="00455054"/>
    <w:rsid w:val="00486A65"/>
    <w:rsid w:val="004A54DD"/>
    <w:rsid w:val="004B28F9"/>
    <w:rsid w:val="004D5B55"/>
    <w:rsid w:val="005016BC"/>
    <w:rsid w:val="005031D4"/>
    <w:rsid w:val="005320C8"/>
    <w:rsid w:val="00541DFF"/>
    <w:rsid w:val="00557D28"/>
    <w:rsid w:val="005716B5"/>
    <w:rsid w:val="0059454E"/>
    <w:rsid w:val="00602EEA"/>
    <w:rsid w:val="0061385B"/>
    <w:rsid w:val="00624EDF"/>
    <w:rsid w:val="00632583"/>
    <w:rsid w:val="00644816"/>
    <w:rsid w:val="00651F12"/>
    <w:rsid w:val="006A08CF"/>
    <w:rsid w:val="006A1254"/>
    <w:rsid w:val="006C28D7"/>
    <w:rsid w:val="00701A11"/>
    <w:rsid w:val="007866FB"/>
    <w:rsid w:val="0078748A"/>
    <w:rsid w:val="007B0019"/>
    <w:rsid w:val="007B64F9"/>
    <w:rsid w:val="007D7521"/>
    <w:rsid w:val="00804F04"/>
    <w:rsid w:val="00821FCB"/>
    <w:rsid w:val="00844CE3"/>
    <w:rsid w:val="00943D65"/>
    <w:rsid w:val="00982B9A"/>
    <w:rsid w:val="009D0736"/>
    <w:rsid w:val="00A551B2"/>
    <w:rsid w:val="00A84CF8"/>
    <w:rsid w:val="00A93B49"/>
    <w:rsid w:val="00AB3211"/>
    <w:rsid w:val="00AB6069"/>
    <w:rsid w:val="00AE29A0"/>
    <w:rsid w:val="00AF08B4"/>
    <w:rsid w:val="00AF2E7C"/>
    <w:rsid w:val="00B04AD9"/>
    <w:rsid w:val="00B115DA"/>
    <w:rsid w:val="00B27EFF"/>
    <w:rsid w:val="00BA3998"/>
    <w:rsid w:val="00BC5B11"/>
    <w:rsid w:val="00BD045B"/>
    <w:rsid w:val="00BD2B60"/>
    <w:rsid w:val="00BF40DC"/>
    <w:rsid w:val="00C236B8"/>
    <w:rsid w:val="00C80A73"/>
    <w:rsid w:val="00CA66AC"/>
    <w:rsid w:val="00CD4C1A"/>
    <w:rsid w:val="00D0647D"/>
    <w:rsid w:val="00D11DC4"/>
    <w:rsid w:val="00D54075"/>
    <w:rsid w:val="00DA49FF"/>
    <w:rsid w:val="00DB3FA3"/>
    <w:rsid w:val="00DF258E"/>
    <w:rsid w:val="00E14A8D"/>
    <w:rsid w:val="00E86ACF"/>
    <w:rsid w:val="00E950CF"/>
    <w:rsid w:val="00F126F0"/>
    <w:rsid w:val="00F40CBB"/>
    <w:rsid w:val="00F621A9"/>
    <w:rsid w:val="00F64022"/>
    <w:rsid w:val="0372241C"/>
    <w:rsid w:val="03D575A8"/>
    <w:rsid w:val="05654425"/>
    <w:rsid w:val="0652180C"/>
    <w:rsid w:val="09045F63"/>
    <w:rsid w:val="0A963C86"/>
    <w:rsid w:val="0DAD05B2"/>
    <w:rsid w:val="0F7B6853"/>
    <w:rsid w:val="13C1591D"/>
    <w:rsid w:val="15F066B0"/>
    <w:rsid w:val="1B5763C6"/>
    <w:rsid w:val="1CAE503A"/>
    <w:rsid w:val="1EFE760C"/>
    <w:rsid w:val="244D0366"/>
    <w:rsid w:val="26EA27E4"/>
    <w:rsid w:val="27732B34"/>
    <w:rsid w:val="286A1F1D"/>
    <w:rsid w:val="2A4172AF"/>
    <w:rsid w:val="2A6C1D9B"/>
    <w:rsid w:val="2CF76ABB"/>
    <w:rsid w:val="2DA17C89"/>
    <w:rsid w:val="32D72742"/>
    <w:rsid w:val="34D332FE"/>
    <w:rsid w:val="36CC7811"/>
    <w:rsid w:val="3A86417A"/>
    <w:rsid w:val="3A976156"/>
    <w:rsid w:val="3BA90120"/>
    <w:rsid w:val="3C2E4FEE"/>
    <w:rsid w:val="3F544847"/>
    <w:rsid w:val="40E912F4"/>
    <w:rsid w:val="41744D2D"/>
    <w:rsid w:val="41C07F72"/>
    <w:rsid w:val="42E507A9"/>
    <w:rsid w:val="45F60406"/>
    <w:rsid w:val="468D4DC8"/>
    <w:rsid w:val="47EF335F"/>
    <w:rsid w:val="489D100D"/>
    <w:rsid w:val="48E201A7"/>
    <w:rsid w:val="4A5C2802"/>
    <w:rsid w:val="4E740A62"/>
    <w:rsid w:val="52412A09"/>
    <w:rsid w:val="53193986"/>
    <w:rsid w:val="53636BA2"/>
    <w:rsid w:val="543624A0"/>
    <w:rsid w:val="57000F6C"/>
    <w:rsid w:val="57EE16E8"/>
    <w:rsid w:val="5A9B2ED2"/>
    <w:rsid w:val="5C8C6F77"/>
    <w:rsid w:val="5D7932B6"/>
    <w:rsid w:val="614A13E8"/>
    <w:rsid w:val="622B1BF5"/>
    <w:rsid w:val="65BD33D7"/>
    <w:rsid w:val="6620029B"/>
    <w:rsid w:val="68F151C3"/>
    <w:rsid w:val="72121874"/>
    <w:rsid w:val="72415B59"/>
    <w:rsid w:val="734E4803"/>
    <w:rsid w:val="73B0102A"/>
    <w:rsid w:val="74B57F03"/>
    <w:rsid w:val="765A0A00"/>
    <w:rsid w:val="77FE4D75"/>
    <w:rsid w:val="7A765096"/>
    <w:rsid w:val="7A9153FC"/>
    <w:rsid w:val="7ADA6684"/>
    <w:rsid w:val="7DD5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footnote text"/>
    <w:basedOn w:val="1"/>
    <w:link w:val="19"/>
    <w:qFormat/>
    <w:uiPriority w:val="0"/>
    <w:pPr>
      <w:snapToGrid w:val="0"/>
      <w:jc w:val="left"/>
    </w:pPr>
    <w:rPr>
      <w:sz w:val="18"/>
    </w:rPr>
  </w:style>
  <w:style w:type="paragraph" w:styleId="7">
    <w:name w:val="annotation subject"/>
    <w:basedOn w:val="2"/>
    <w:next w:val="2"/>
    <w:link w:val="18"/>
    <w:qFormat/>
    <w:uiPriority w:val="0"/>
    <w:rPr>
      <w:b/>
      <w:bCs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styleId="13">
    <w:name w:val="footnote reference"/>
    <w:basedOn w:val="10"/>
    <w:qFormat/>
    <w:uiPriority w:val="0"/>
    <w:rPr>
      <w:vertAlign w:val="superscript"/>
    </w:rPr>
  </w:style>
  <w:style w:type="character" w:customStyle="1" w:styleId="14">
    <w:name w:val="font21"/>
    <w:basedOn w:val="10"/>
    <w:qFormat/>
    <w:uiPriority w:val="0"/>
    <w:rPr>
      <w:rFonts w:ascii="Segoe UI" w:hAnsi="Segoe UI" w:eastAsia="Segoe UI" w:cs="Segoe UI"/>
      <w:strike/>
      <w:color w:val="000000"/>
      <w:sz w:val="22"/>
      <w:szCs w:val="22"/>
    </w:rPr>
  </w:style>
  <w:style w:type="character" w:customStyle="1" w:styleId="15">
    <w:name w:val="font11"/>
    <w:basedOn w:val="10"/>
    <w:qFormat/>
    <w:uiPriority w:val="0"/>
    <w:rPr>
      <w:rFonts w:hint="eastAsia" w:ascii="等线" w:hAnsi="等线" w:eastAsia="等线" w:cs="等线"/>
      <w:strike/>
      <w:color w:val="000000"/>
      <w:sz w:val="22"/>
      <w:szCs w:val="22"/>
    </w:rPr>
  </w:style>
  <w:style w:type="character" w:customStyle="1" w:styleId="16">
    <w:name w:val="批注框文本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批注文字 字符"/>
    <w:basedOn w:val="10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8">
    <w:name w:val="批注主题 字符"/>
    <w:basedOn w:val="17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9">
    <w:name w:val="脚注文本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24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EndNote Bibliography Title"/>
    <w:basedOn w:val="1"/>
    <w:link w:val="23"/>
    <w:qFormat/>
    <w:uiPriority w:val="0"/>
    <w:pPr>
      <w:jc w:val="center"/>
    </w:pPr>
    <w:rPr>
      <w:rFonts w:ascii="Calibri" w:hAnsi="Calibri" w:cs="Calibri"/>
      <w:sz w:val="20"/>
    </w:rPr>
  </w:style>
  <w:style w:type="character" w:customStyle="1" w:styleId="23">
    <w:name w:val="EndNote Bibliography Title 字符"/>
    <w:basedOn w:val="10"/>
    <w:link w:val="22"/>
    <w:qFormat/>
    <w:uiPriority w:val="0"/>
    <w:rPr>
      <w:rFonts w:ascii="Calibri" w:hAnsi="Calibri" w:cs="Calibri" w:eastAsiaTheme="minorEastAsia"/>
      <w:kern w:val="2"/>
      <w:szCs w:val="24"/>
    </w:rPr>
  </w:style>
  <w:style w:type="paragraph" w:customStyle="1" w:styleId="24">
    <w:name w:val="EndNote Bibliography"/>
    <w:basedOn w:val="1"/>
    <w:link w:val="25"/>
    <w:qFormat/>
    <w:uiPriority w:val="0"/>
    <w:pPr>
      <w:jc w:val="left"/>
    </w:pPr>
    <w:rPr>
      <w:rFonts w:ascii="Calibri" w:hAnsi="Calibri" w:cs="Calibri"/>
      <w:sz w:val="20"/>
    </w:rPr>
  </w:style>
  <w:style w:type="character" w:customStyle="1" w:styleId="25">
    <w:name w:val="EndNote Bibliography 字符"/>
    <w:basedOn w:val="10"/>
    <w:link w:val="24"/>
    <w:qFormat/>
    <w:uiPriority w:val="0"/>
    <w:rPr>
      <w:rFonts w:ascii="Calibri" w:hAnsi="Calibri" w:cs="Calibri" w:eastAsiaTheme="minorEastAsia"/>
      <w:kern w:val="2"/>
      <w:szCs w:val="24"/>
    </w:rPr>
  </w:style>
  <w:style w:type="paragraph" w:customStyle="1" w:styleId="2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F8217-4ABF-436F-999F-BEB81EC580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792</Words>
  <Characters>1935</Characters>
  <Lines>492</Lines>
  <Paragraphs>455</Paragraphs>
  <TotalTime>186</TotalTime>
  <ScaleCrop>false</ScaleCrop>
  <LinksUpToDate>false</LinksUpToDate>
  <CharactersWithSpaces>1977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2024-07-28T01:05:00Z</dcterms:created>
  <dc:creator>王玉茹</dc:creator>
  <cp:lastModifiedBy>windy</cp:lastModifiedBy>
  <dcterms:modified xsi:type="dcterms:W3CDTF">2026-02-09T08:34:40Z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A5647D7AE76749589304EC54411666B4_13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