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4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sz w:val="24"/>
        </w:rPr>
        <w:t>表3  患儿治疗前后Rutter儿童行为量表比较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 （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=50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68"/>
        <w:gridCol w:w="1392"/>
        <w:gridCol w:w="1304"/>
        <w:gridCol w:w="1368"/>
        <w:gridCol w:w="1473"/>
        <w:gridCol w:w="1471"/>
      </w:tblGrid>
      <w:tr w14:paraId="3E53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 w14:paraId="0C440F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sz w:val="24"/>
              </w:rPr>
              <w:t>分组</w:t>
            </w:r>
          </w:p>
        </w:tc>
        <w:tc>
          <w:tcPr>
            <w:tcW w:w="2760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 w14:paraId="6AF8F4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总分</w:t>
            </w:r>
          </w:p>
        </w:tc>
        <w:tc>
          <w:tcPr>
            <w:tcW w:w="2672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 w14:paraId="693018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A行为评分</w:t>
            </w:r>
          </w:p>
        </w:tc>
        <w:tc>
          <w:tcPr>
            <w:tcW w:w="2944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 w14:paraId="1DEF80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N行为评分</w:t>
            </w:r>
          </w:p>
        </w:tc>
      </w:tr>
      <w:tr w14:paraId="1FC2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396FE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  <w:noWrap w:val="0"/>
            <w:vAlign w:val="center"/>
          </w:tcPr>
          <w:p w14:paraId="14FECC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治疗前</w:t>
            </w:r>
          </w:p>
        </w:tc>
        <w:tc>
          <w:tcPr>
            <w:tcW w:w="1392" w:type="dxa"/>
            <w:tcBorders>
              <w:left w:val="nil"/>
              <w:right w:val="nil"/>
            </w:tcBorders>
            <w:noWrap w:val="0"/>
            <w:vAlign w:val="center"/>
          </w:tcPr>
          <w:p w14:paraId="656BB7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治疗后</w:t>
            </w:r>
          </w:p>
        </w:tc>
        <w:tc>
          <w:tcPr>
            <w:tcW w:w="1304" w:type="dxa"/>
            <w:tcBorders>
              <w:left w:val="nil"/>
              <w:right w:val="nil"/>
            </w:tcBorders>
            <w:noWrap w:val="0"/>
            <w:vAlign w:val="center"/>
          </w:tcPr>
          <w:p w14:paraId="6E6D91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治疗前</w:t>
            </w:r>
          </w:p>
        </w:tc>
        <w:tc>
          <w:tcPr>
            <w:tcW w:w="1368" w:type="dxa"/>
            <w:tcBorders>
              <w:left w:val="nil"/>
              <w:right w:val="nil"/>
            </w:tcBorders>
            <w:noWrap w:val="0"/>
            <w:vAlign w:val="center"/>
          </w:tcPr>
          <w:p w14:paraId="5ED803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治疗后</w:t>
            </w:r>
          </w:p>
        </w:tc>
        <w:tc>
          <w:tcPr>
            <w:tcW w:w="1473" w:type="dxa"/>
            <w:tcBorders>
              <w:left w:val="nil"/>
              <w:right w:val="nil"/>
            </w:tcBorders>
            <w:noWrap w:val="0"/>
            <w:vAlign w:val="center"/>
          </w:tcPr>
          <w:p w14:paraId="7EE04A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治疗前</w:t>
            </w:r>
          </w:p>
        </w:tc>
        <w:tc>
          <w:tcPr>
            <w:tcW w:w="1471" w:type="dxa"/>
            <w:tcBorders>
              <w:left w:val="nil"/>
              <w:right w:val="nil"/>
            </w:tcBorders>
            <w:noWrap w:val="0"/>
            <w:vAlign w:val="center"/>
          </w:tcPr>
          <w:p w14:paraId="07E48F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治疗后</w:t>
            </w:r>
          </w:p>
        </w:tc>
      </w:tr>
      <w:tr w14:paraId="1BF6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7DDAB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对照组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FD78E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8.10±1.22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D64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7.38±0.87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2BBFA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3.52±0.79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2E085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3.38±0.86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569EC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4.58±1.33</w:t>
            </w: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A10FC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4.00±1.09</w:t>
            </w:r>
          </w:p>
        </w:tc>
      </w:tr>
      <w:tr w14:paraId="2B90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4F4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治疗组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DDF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7.96±1.04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95B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6.04±1.12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3905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3.50±0.79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CC4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3.40±1.03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81C3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4.46±1.09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4D53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2.64±1.32</w:t>
            </w:r>
          </w:p>
        </w:tc>
      </w:tr>
      <w:tr w14:paraId="5CA7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DF11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</w:rPr>
              <w:t>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B1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0.616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0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6.643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F9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0.127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6B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-0.106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1D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0.494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EE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5.619</w:t>
            </w:r>
          </w:p>
        </w:tc>
      </w:tr>
      <w:tr w14:paraId="425C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AAB4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</w:rPr>
              <w:t>P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480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0.539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387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＜0.001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E6D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0.899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243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0.916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428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0.622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270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＜0.001</w:t>
            </w:r>
          </w:p>
        </w:tc>
      </w:tr>
      <w:bookmarkEnd w:id="0"/>
    </w:tbl>
    <w:p w14:paraId="70A63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cs="宋体"/>
          <w:color w:val="0000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jEwNDdkZmIxOTc5OWQ2ZmZlYjEwNjAyOWJhZTMifQ=="/>
  </w:docVars>
  <w:rsids>
    <w:rsidRoot w:val="00D02C83"/>
    <w:rsid w:val="0000128D"/>
    <w:rsid w:val="00092659"/>
    <w:rsid w:val="001475DA"/>
    <w:rsid w:val="00177E6A"/>
    <w:rsid w:val="001C5CC4"/>
    <w:rsid w:val="003874CE"/>
    <w:rsid w:val="00390426"/>
    <w:rsid w:val="003979D5"/>
    <w:rsid w:val="00454339"/>
    <w:rsid w:val="006644F1"/>
    <w:rsid w:val="006B4C8F"/>
    <w:rsid w:val="006C40C7"/>
    <w:rsid w:val="00714994"/>
    <w:rsid w:val="007211B6"/>
    <w:rsid w:val="00755D13"/>
    <w:rsid w:val="00800B46"/>
    <w:rsid w:val="00873A67"/>
    <w:rsid w:val="0088269E"/>
    <w:rsid w:val="008E0504"/>
    <w:rsid w:val="009C3812"/>
    <w:rsid w:val="00B02C6B"/>
    <w:rsid w:val="00B807A8"/>
    <w:rsid w:val="00BD19AE"/>
    <w:rsid w:val="00BF07B8"/>
    <w:rsid w:val="00C90964"/>
    <w:rsid w:val="00D02C83"/>
    <w:rsid w:val="00D31C4C"/>
    <w:rsid w:val="00D35100"/>
    <w:rsid w:val="00D5785A"/>
    <w:rsid w:val="00DB2AED"/>
    <w:rsid w:val="00F43072"/>
    <w:rsid w:val="016B3B8A"/>
    <w:rsid w:val="0183453D"/>
    <w:rsid w:val="01E63817"/>
    <w:rsid w:val="01F72517"/>
    <w:rsid w:val="033B7F73"/>
    <w:rsid w:val="034740D7"/>
    <w:rsid w:val="04DA4474"/>
    <w:rsid w:val="05F54829"/>
    <w:rsid w:val="073267E9"/>
    <w:rsid w:val="08007A98"/>
    <w:rsid w:val="080703FA"/>
    <w:rsid w:val="08CE5EA0"/>
    <w:rsid w:val="09837CC1"/>
    <w:rsid w:val="0B460029"/>
    <w:rsid w:val="0B837613"/>
    <w:rsid w:val="0C287470"/>
    <w:rsid w:val="0CAA6E21"/>
    <w:rsid w:val="0D747487"/>
    <w:rsid w:val="0D9376BC"/>
    <w:rsid w:val="0DD405FA"/>
    <w:rsid w:val="0DED6FC6"/>
    <w:rsid w:val="0EA87391"/>
    <w:rsid w:val="0F7B4AA5"/>
    <w:rsid w:val="0F977B31"/>
    <w:rsid w:val="10305E2E"/>
    <w:rsid w:val="1065264B"/>
    <w:rsid w:val="10817EF0"/>
    <w:rsid w:val="10F255BD"/>
    <w:rsid w:val="11632F7E"/>
    <w:rsid w:val="11842A6A"/>
    <w:rsid w:val="11A5774E"/>
    <w:rsid w:val="11DD1E63"/>
    <w:rsid w:val="129640D0"/>
    <w:rsid w:val="13122137"/>
    <w:rsid w:val="133B39FD"/>
    <w:rsid w:val="141F00F5"/>
    <w:rsid w:val="144F7073"/>
    <w:rsid w:val="14A975E7"/>
    <w:rsid w:val="15D758DE"/>
    <w:rsid w:val="165752E8"/>
    <w:rsid w:val="17315BB6"/>
    <w:rsid w:val="173C05FF"/>
    <w:rsid w:val="183C48E5"/>
    <w:rsid w:val="1888270D"/>
    <w:rsid w:val="18E10DFE"/>
    <w:rsid w:val="195C3488"/>
    <w:rsid w:val="1968609A"/>
    <w:rsid w:val="19B60BB4"/>
    <w:rsid w:val="1B2442E5"/>
    <w:rsid w:val="1B356531"/>
    <w:rsid w:val="1B462E07"/>
    <w:rsid w:val="1CEC1050"/>
    <w:rsid w:val="1D403128"/>
    <w:rsid w:val="1D445D2D"/>
    <w:rsid w:val="1D967700"/>
    <w:rsid w:val="1DD43CFE"/>
    <w:rsid w:val="1E2F2734"/>
    <w:rsid w:val="1EB15DEE"/>
    <w:rsid w:val="1EEE0DF0"/>
    <w:rsid w:val="1FB2006F"/>
    <w:rsid w:val="202645B9"/>
    <w:rsid w:val="20864896"/>
    <w:rsid w:val="20E25071"/>
    <w:rsid w:val="211508B6"/>
    <w:rsid w:val="21274A8D"/>
    <w:rsid w:val="21297A3C"/>
    <w:rsid w:val="21FB3184"/>
    <w:rsid w:val="224A5DDE"/>
    <w:rsid w:val="225E1A99"/>
    <w:rsid w:val="22BD3508"/>
    <w:rsid w:val="22C5403C"/>
    <w:rsid w:val="22DE117B"/>
    <w:rsid w:val="23A545C2"/>
    <w:rsid w:val="23B97D00"/>
    <w:rsid w:val="242F6132"/>
    <w:rsid w:val="24586A25"/>
    <w:rsid w:val="24E21525"/>
    <w:rsid w:val="250550E5"/>
    <w:rsid w:val="25755DC7"/>
    <w:rsid w:val="25AE5773"/>
    <w:rsid w:val="25B419BD"/>
    <w:rsid w:val="2644571B"/>
    <w:rsid w:val="27160EE4"/>
    <w:rsid w:val="27A85D8C"/>
    <w:rsid w:val="27A961FC"/>
    <w:rsid w:val="27C1620D"/>
    <w:rsid w:val="28F60EA0"/>
    <w:rsid w:val="28F60FCD"/>
    <w:rsid w:val="296D709A"/>
    <w:rsid w:val="2B040F10"/>
    <w:rsid w:val="2B3336E8"/>
    <w:rsid w:val="2B457FE9"/>
    <w:rsid w:val="2BCC0E7E"/>
    <w:rsid w:val="2C0E0D23"/>
    <w:rsid w:val="2C161986"/>
    <w:rsid w:val="2D55028C"/>
    <w:rsid w:val="2DD07E67"/>
    <w:rsid w:val="2F48454C"/>
    <w:rsid w:val="2F8E11EB"/>
    <w:rsid w:val="2FD359BF"/>
    <w:rsid w:val="30A60A3C"/>
    <w:rsid w:val="30C32C78"/>
    <w:rsid w:val="31666F0B"/>
    <w:rsid w:val="31DB66C2"/>
    <w:rsid w:val="31E406F7"/>
    <w:rsid w:val="32B157FB"/>
    <w:rsid w:val="337D5EB4"/>
    <w:rsid w:val="33C543BD"/>
    <w:rsid w:val="34060480"/>
    <w:rsid w:val="344C5CBF"/>
    <w:rsid w:val="34640A9B"/>
    <w:rsid w:val="34930017"/>
    <w:rsid w:val="35661288"/>
    <w:rsid w:val="35675BC2"/>
    <w:rsid w:val="35686F14"/>
    <w:rsid w:val="35972EC8"/>
    <w:rsid w:val="36100B60"/>
    <w:rsid w:val="36631391"/>
    <w:rsid w:val="3688043B"/>
    <w:rsid w:val="37474C11"/>
    <w:rsid w:val="37EC1DC6"/>
    <w:rsid w:val="38CE3BE6"/>
    <w:rsid w:val="390D6A5E"/>
    <w:rsid w:val="39DA752F"/>
    <w:rsid w:val="3A031069"/>
    <w:rsid w:val="3A080B60"/>
    <w:rsid w:val="3A744447"/>
    <w:rsid w:val="3AB6680E"/>
    <w:rsid w:val="3C0C4A14"/>
    <w:rsid w:val="3C301705"/>
    <w:rsid w:val="3D307805"/>
    <w:rsid w:val="3FCF7B84"/>
    <w:rsid w:val="40574C5C"/>
    <w:rsid w:val="41090869"/>
    <w:rsid w:val="416014A9"/>
    <w:rsid w:val="418C02C8"/>
    <w:rsid w:val="421233DB"/>
    <w:rsid w:val="421502BE"/>
    <w:rsid w:val="42E23C0C"/>
    <w:rsid w:val="44262384"/>
    <w:rsid w:val="442819DC"/>
    <w:rsid w:val="44A41289"/>
    <w:rsid w:val="45165A31"/>
    <w:rsid w:val="45943EE9"/>
    <w:rsid w:val="459A6CB6"/>
    <w:rsid w:val="45E34DAF"/>
    <w:rsid w:val="46454873"/>
    <w:rsid w:val="465A6919"/>
    <w:rsid w:val="46C24024"/>
    <w:rsid w:val="46DD15C6"/>
    <w:rsid w:val="47232D85"/>
    <w:rsid w:val="47657C89"/>
    <w:rsid w:val="477C0DDF"/>
    <w:rsid w:val="488E0DCA"/>
    <w:rsid w:val="48F11F65"/>
    <w:rsid w:val="490D6193"/>
    <w:rsid w:val="49823591"/>
    <w:rsid w:val="49934A0B"/>
    <w:rsid w:val="4A8113B6"/>
    <w:rsid w:val="4A9F106C"/>
    <w:rsid w:val="4AC23B90"/>
    <w:rsid w:val="4B2B1B55"/>
    <w:rsid w:val="4B2E2169"/>
    <w:rsid w:val="4B3E5F47"/>
    <w:rsid w:val="4BAF5EF3"/>
    <w:rsid w:val="4C0E5C5C"/>
    <w:rsid w:val="4C570795"/>
    <w:rsid w:val="4C9B3AB5"/>
    <w:rsid w:val="4CC24931"/>
    <w:rsid w:val="4CE0771A"/>
    <w:rsid w:val="4D1A0E7E"/>
    <w:rsid w:val="4D8826C6"/>
    <w:rsid w:val="4E0661EB"/>
    <w:rsid w:val="4E5C7274"/>
    <w:rsid w:val="4F1D07B2"/>
    <w:rsid w:val="4F585C8E"/>
    <w:rsid w:val="4F84601E"/>
    <w:rsid w:val="50E3677D"/>
    <w:rsid w:val="514C3F2E"/>
    <w:rsid w:val="5175252B"/>
    <w:rsid w:val="518C60C3"/>
    <w:rsid w:val="51D67B2A"/>
    <w:rsid w:val="51FB565D"/>
    <w:rsid w:val="53690A81"/>
    <w:rsid w:val="537F6A81"/>
    <w:rsid w:val="53B8190E"/>
    <w:rsid w:val="54B37561"/>
    <w:rsid w:val="54E95C92"/>
    <w:rsid w:val="55173EF5"/>
    <w:rsid w:val="56076563"/>
    <w:rsid w:val="564927D4"/>
    <w:rsid w:val="567800EF"/>
    <w:rsid w:val="56C16039"/>
    <w:rsid w:val="574A2360"/>
    <w:rsid w:val="59296E8D"/>
    <w:rsid w:val="59B17920"/>
    <w:rsid w:val="59C35481"/>
    <w:rsid w:val="5ABF42BB"/>
    <w:rsid w:val="5AC60CD7"/>
    <w:rsid w:val="5AF66BA5"/>
    <w:rsid w:val="5BC20F78"/>
    <w:rsid w:val="5C164E0D"/>
    <w:rsid w:val="5C245BFF"/>
    <w:rsid w:val="5C2D0E9F"/>
    <w:rsid w:val="5C8F4ADF"/>
    <w:rsid w:val="5D4D29D9"/>
    <w:rsid w:val="5D7546BA"/>
    <w:rsid w:val="5DAF73C1"/>
    <w:rsid w:val="5DCE1F24"/>
    <w:rsid w:val="5E331DA0"/>
    <w:rsid w:val="5EA20CED"/>
    <w:rsid w:val="5F745FD8"/>
    <w:rsid w:val="5FC5466E"/>
    <w:rsid w:val="60A85F7F"/>
    <w:rsid w:val="60D40EEC"/>
    <w:rsid w:val="60FE69B5"/>
    <w:rsid w:val="613F41B0"/>
    <w:rsid w:val="625978FB"/>
    <w:rsid w:val="62C1787F"/>
    <w:rsid w:val="63171C9E"/>
    <w:rsid w:val="63C11BFC"/>
    <w:rsid w:val="63F975E8"/>
    <w:rsid w:val="66452633"/>
    <w:rsid w:val="66C9001F"/>
    <w:rsid w:val="67CC39CB"/>
    <w:rsid w:val="67FD370B"/>
    <w:rsid w:val="6824523F"/>
    <w:rsid w:val="688050C8"/>
    <w:rsid w:val="68B17606"/>
    <w:rsid w:val="69DF4E17"/>
    <w:rsid w:val="69E92CFF"/>
    <w:rsid w:val="6B0B19AE"/>
    <w:rsid w:val="6B1139A5"/>
    <w:rsid w:val="6B95409A"/>
    <w:rsid w:val="6BB3170A"/>
    <w:rsid w:val="6BE309E6"/>
    <w:rsid w:val="6C362FA1"/>
    <w:rsid w:val="6C7E4F5F"/>
    <w:rsid w:val="6CAF7CE4"/>
    <w:rsid w:val="6CE26F1C"/>
    <w:rsid w:val="6D39087E"/>
    <w:rsid w:val="6DC200D4"/>
    <w:rsid w:val="6DC36A87"/>
    <w:rsid w:val="6E4C2A0A"/>
    <w:rsid w:val="6E7755F0"/>
    <w:rsid w:val="6EB26D11"/>
    <w:rsid w:val="6F481423"/>
    <w:rsid w:val="6FBD7AD9"/>
    <w:rsid w:val="6FCA0D4F"/>
    <w:rsid w:val="6FF50474"/>
    <w:rsid w:val="713929C7"/>
    <w:rsid w:val="719C7804"/>
    <w:rsid w:val="727772A0"/>
    <w:rsid w:val="73BB64F6"/>
    <w:rsid w:val="74A907A6"/>
    <w:rsid w:val="75185519"/>
    <w:rsid w:val="755C5669"/>
    <w:rsid w:val="7610431D"/>
    <w:rsid w:val="767825A5"/>
    <w:rsid w:val="769C3384"/>
    <w:rsid w:val="78743289"/>
    <w:rsid w:val="78991607"/>
    <w:rsid w:val="78D22E2A"/>
    <w:rsid w:val="790C34C1"/>
    <w:rsid w:val="792725F8"/>
    <w:rsid w:val="79310707"/>
    <w:rsid w:val="793E260C"/>
    <w:rsid w:val="79BB0EF6"/>
    <w:rsid w:val="7AE04C06"/>
    <w:rsid w:val="7B3B008E"/>
    <w:rsid w:val="7C0D4F61"/>
    <w:rsid w:val="7C8E0B5C"/>
    <w:rsid w:val="7D0F532E"/>
    <w:rsid w:val="7E1C7822"/>
    <w:rsid w:val="7F6A048A"/>
    <w:rsid w:val="7FDF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3"/>
    <w:next w:val="3"/>
    <w:link w:val="14"/>
    <w:uiPriority w:val="0"/>
    <w:rPr>
      <w:b/>
      <w:bCs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styleId="12">
    <w:name w:val="HTML Cite"/>
    <w:uiPriority w:val="0"/>
    <w:rPr>
      <w:i/>
    </w:rPr>
  </w:style>
  <w:style w:type="character" w:customStyle="1" w:styleId="13">
    <w:name w:val="批注文字 字符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link w:val="5"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论文正文"/>
    <w:basedOn w:val="1"/>
    <w:qFormat/>
    <w:uiPriority w:val="0"/>
    <w:pPr>
      <w:snapToGrid w:val="0"/>
    </w:pPr>
    <w:rPr>
      <w:rFonts w:ascii="宋体" w:hAnsi="宋体"/>
    </w:rPr>
  </w:style>
  <w:style w:type="paragraph" w:customStyle="1" w:styleId="16">
    <w:name w:val="_Style 15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_Style 17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771</Characters>
  <Lines>76</Lines>
  <Paragraphs>21</Paragraphs>
  <TotalTime>13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2024-09-01T07:58:00Z</dcterms:created>
  <dc:creator>mai'hua'chao</dc:creator>
  <cp:lastModifiedBy>windy</cp:lastModifiedBy>
  <cp:lastPrinted>2025-04-03T08:10:00Z</cp:lastPrinted>
  <dcterms:modified xsi:type="dcterms:W3CDTF">2026-02-09T06:08:17Z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F2141549D4EF438896038B5E556E414C_13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