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CD19">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宋体"/>
          <w:b/>
          <w:bCs/>
          <w:color w:val="auto"/>
          <w:sz w:val="18"/>
          <w:szCs w:val="18"/>
          <w:lang w:val="en-US" w:eastAsia="zh-CN"/>
        </w:rPr>
      </w:pPr>
      <w:r>
        <w:rPr>
          <w:rFonts w:hint="eastAsia" w:ascii="Times New Roman" w:hAnsi="Times New Roman" w:eastAsia="宋体" w:cs="宋体"/>
          <w:b/>
          <w:bCs/>
          <w:color w:val="auto"/>
          <w:sz w:val="18"/>
          <w:szCs w:val="18"/>
          <w:lang w:val="en-US" w:eastAsia="zh-CN"/>
        </w:rPr>
        <w:t xml:space="preserve">表1 </w:t>
      </w:r>
      <w:r>
        <w:rPr>
          <w:rFonts w:hint="eastAsia" w:ascii="Times New Roman" w:hAnsi="Times New Roman" w:cs="宋体"/>
          <w:b/>
          <w:bCs/>
          <w:color w:val="auto"/>
          <w:sz w:val="18"/>
          <w:szCs w:val="18"/>
          <w:lang w:val="en-US" w:eastAsia="zh-CN"/>
        </w:rPr>
        <w:t xml:space="preserve"> </w:t>
      </w:r>
      <w:r>
        <w:rPr>
          <w:rFonts w:hint="eastAsia" w:ascii="Times New Roman" w:hAnsi="Times New Roman" w:eastAsia="宋体" w:cs="宋体"/>
          <w:b/>
          <w:bCs/>
          <w:color w:val="auto"/>
          <w:sz w:val="18"/>
          <w:szCs w:val="18"/>
          <w:lang w:val="en-US" w:eastAsia="zh-CN"/>
        </w:rPr>
        <w:t>不同检查条件下的破口层面主动脉平均直径与破口至左锁骨下平均距离对比</w:t>
      </w:r>
      <w:r>
        <w:rPr>
          <w:rFonts w:hint="eastAsia" w:ascii="Times New Roman" w:hAnsi="Times New Roman" w:cs="宋体"/>
          <w:b/>
          <w:bCs/>
          <w:color w:val="auto"/>
          <w:sz w:val="18"/>
          <w:szCs w:val="18"/>
          <w:lang w:val="en-US" w:eastAsia="zh-CN"/>
        </w:rPr>
        <w:t xml:space="preserve"> </w:t>
      </w:r>
      <w:r>
        <w:rPr>
          <w:rFonts w:hint="eastAsia" w:ascii="宋体" w:hAnsi="宋体" w:eastAsia="宋体" w:cs="宋体"/>
          <w:b/>
          <w:bCs/>
          <w:color w:val="auto"/>
          <w:sz w:val="18"/>
          <w:szCs w:val="18"/>
          <w:shd w:val="clear" w:color="auto" w:fill="FFFFFF"/>
          <w:lang w:val="en-US" w:eastAsia="zh-CN"/>
        </w:rPr>
        <w:t>（</w:t>
      </w:r>
      <w:r>
        <w:rPr>
          <w:rFonts w:hint="eastAsia" w:ascii="宋体" w:hAnsi="宋体" w:eastAsia="宋体" w:cs="宋体"/>
          <w:b/>
          <w:bCs/>
          <w:color w:val="auto"/>
          <w:sz w:val="18"/>
          <w:szCs w:val="18"/>
          <w:shd w:val="clear" w:color="auto" w:fill="FFFFFF"/>
        </w:rPr>
        <w:sym w:font="Symbol" w:char="F060"/>
      </w:r>
      <w:r>
        <w:rPr>
          <w:rFonts w:hint="default" w:ascii="Times New Roman" w:hAnsi="Times New Roman" w:eastAsia="宋体" w:cs="Times New Roman"/>
          <w:b/>
          <w:bCs/>
          <w:i/>
          <w:iCs/>
          <w:color w:val="auto"/>
          <w:sz w:val="18"/>
          <w:szCs w:val="18"/>
        </w:rPr>
        <w:t>x</w:t>
      </w:r>
      <w:r>
        <w:rPr>
          <w:rFonts w:hint="default" w:ascii="Times New Roman" w:hAnsi="Times New Roman" w:eastAsia="宋体" w:cs="Times New Roman"/>
          <w:b/>
          <w:bCs/>
          <w:color w:val="auto"/>
          <w:sz w:val="18"/>
          <w:szCs w:val="18"/>
        </w:rPr>
        <w:t>±</w:t>
      </w:r>
      <w:r>
        <w:rPr>
          <w:rFonts w:hint="default" w:ascii="Times New Roman" w:hAnsi="Times New Roman" w:eastAsia="宋体" w:cs="Times New Roman"/>
          <w:b/>
          <w:bCs/>
          <w:i/>
          <w:iCs/>
          <w:color w:val="auto"/>
          <w:sz w:val="18"/>
          <w:szCs w:val="18"/>
        </w:rPr>
        <w:t>s</w:t>
      </w:r>
      <w:r>
        <w:rPr>
          <w:rFonts w:hint="default" w:ascii="Times New Roman" w:hAnsi="Times New Roman" w:eastAsia="宋体" w:cs="Times New Roman"/>
          <w:b/>
          <w:bCs/>
          <w:i w:val="0"/>
          <w:iCs w:val="0"/>
          <w:color w:val="auto"/>
          <w:sz w:val="18"/>
          <w:szCs w:val="18"/>
          <w:lang w:eastAsia="zh-CN"/>
        </w:rPr>
        <w:t>，</w:t>
      </w:r>
      <w:r>
        <w:rPr>
          <w:rFonts w:hint="default" w:ascii="Times New Roman" w:hAnsi="Times New Roman" w:eastAsia="宋体" w:cs="Times New Roman"/>
          <w:b/>
          <w:bCs/>
          <w:i/>
          <w:iCs/>
          <w:color w:val="auto"/>
          <w:sz w:val="18"/>
          <w:szCs w:val="18"/>
          <w:lang w:val="en-US" w:eastAsia="zh-CN"/>
        </w:rPr>
        <w:t>n</w:t>
      </w:r>
      <w:r>
        <w:rPr>
          <w:rFonts w:hint="default" w:ascii="Times New Roman" w:hAnsi="Times New Roman" w:eastAsia="宋体" w:cs="Times New Roman"/>
          <w:b/>
          <w:bCs/>
          <w:i w:val="0"/>
          <w:iCs w:val="0"/>
          <w:color w:val="auto"/>
          <w:sz w:val="18"/>
          <w:szCs w:val="18"/>
          <w:lang w:val="en-US" w:eastAsia="zh-CN"/>
        </w:rPr>
        <w:t>=</w:t>
      </w:r>
      <w:r>
        <w:rPr>
          <w:rFonts w:hint="eastAsia" w:ascii="Times New Roman" w:hAnsi="Times New Roman" w:eastAsia="宋体" w:cs="Times New Roman"/>
          <w:b/>
          <w:bCs/>
          <w:i w:val="0"/>
          <w:iCs w:val="0"/>
          <w:color w:val="auto"/>
          <w:sz w:val="18"/>
          <w:szCs w:val="18"/>
          <w:lang w:val="en-US" w:eastAsia="zh-CN"/>
        </w:rPr>
        <w:t xml:space="preserve">96 </w:t>
      </w:r>
      <w:r>
        <w:rPr>
          <w:rFonts w:hint="eastAsia" w:ascii="宋体" w:hAnsi="宋体" w:eastAsia="宋体" w:cs="宋体"/>
          <w:b/>
          <w:bCs/>
          <w:color w:val="auto"/>
          <w:sz w:val="18"/>
          <w:szCs w:val="18"/>
          <w:shd w:val="clear" w:color="auto" w:fill="FFFFFF"/>
          <w:lang w:val="en-US" w:eastAsia="zh-CN"/>
        </w:rPr>
        <w:t>）</w:t>
      </w:r>
    </w:p>
    <w:tbl>
      <w:tblPr>
        <w:tblStyle w:val="4"/>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3"/>
        <w:gridCol w:w="3261"/>
        <w:gridCol w:w="3056"/>
      </w:tblGrid>
      <w:tr w14:paraId="275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03" w:type="dxa"/>
            <w:tcBorders>
              <w:top w:val="single" w:color="000000" w:sz="4" w:space="0"/>
              <w:bottom w:val="single" w:color="000000" w:sz="4" w:space="0"/>
              <w:tl2br w:val="nil"/>
              <w:tr2bl w:val="nil"/>
            </w:tcBorders>
            <w:vAlign w:val="center"/>
          </w:tcPr>
          <w:p w14:paraId="14817898">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检查方法</w:t>
            </w:r>
          </w:p>
        </w:tc>
        <w:tc>
          <w:tcPr>
            <w:tcW w:w="3261" w:type="dxa"/>
            <w:tcBorders>
              <w:top w:val="single" w:color="000000" w:sz="4" w:space="0"/>
              <w:bottom w:val="single" w:color="000000" w:sz="4" w:space="0"/>
              <w:tl2br w:val="nil"/>
              <w:tr2bl w:val="nil"/>
            </w:tcBorders>
            <w:vAlign w:val="center"/>
          </w:tcPr>
          <w:p w14:paraId="5D301D9B">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lang w:val="en-US" w:eastAsia="zh-CN"/>
              </w:rPr>
              <w:t>破口层面主动脉平均直径/cm</w:t>
            </w:r>
          </w:p>
        </w:tc>
        <w:tc>
          <w:tcPr>
            <w:tcW w:w="3056" w:type="dxa"/>
            <w:tcBorders>
              <w:top w:val="single" w:color="000000" w:sz="4" w:space="0"/>
              <w:bottom w:val="single" w:color="000000" w:sz="4" w:space="0"/>
              <w:tl2br w:val="nil"/>
              <w:tr2bl w:val="nil"/>
            </w:tcBorders>
            <w:vAlign w:val="center"/>
          </w:tcPr>
          <w:p w14:paraId="076C497A">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lang w:val="en-US" w:eastAsia="zh-CN"/>
              </w:rPr>
              <w:t>破口至左锁骨下平均距离/cm</w:t>
            </w:r>
          </w:p>
        </w:tc>
      </w:tr>
      <w:tr w14:paraId="4FA5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03" w:type="dxa"/>
            <w:tcBorders>
              <w:top w:val="single" w:color="000000" w:sz="4" w:space="0"/>
              <w:tl2br w:val="nil"/>
              <w:tr2bl w:val="nil"/>
            </w:tcBorders>
            <w:vAlign w:val="center"/>
          </w:tcPr>
          <w:p w14:paraId="7C81D985">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rPr>
              <w:t>64层螺旋CT三维重建</w:t>
            </w:r>
            <w:r>
              <w:rPr>
                <w:rFonts w:hint="eastAsia" w:ascii="Times New Roman" w:hAnsi="Times New Roman" w:eastAsia="宋体" w:cs="宋体"/>
                <w:b w:val="0"/>
                <w:bCs w:val="0"/>
                <w:color w:val="auto"/>
                <w:sz w:val="21"/>
                <w:szCs w:val="18"/>
                <w:lang w:val="en-US" w:eastAsia="zh-CN"/>
              </w:rPr>
              <w:t>检查</w:t>
            </w:r>
          </w:p>
        </w:tc>
        <w:tc>
          <w:tcPr>
            <w:tcW w:w="3261" w:type="dxa"/>
            <w:tcBorders>
              <w:top w:val="single" w:color="000000" w:sz="4" w:space="0"/>
              <w:tl2br w:val="nil"/>
              <w:tr2bl w:val="nil"/>
            </w:tcBorders>
            <w:vAlign w:val="center"/>
          </w:tcPr>
          <w:p w14:paraId="2042E98F">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3.08±0.25</w:t>
            </w:r>
          </w:p>
        </w:tc>
        <w:tc>
          <w:tcPr>
            <w:tcW w:w="3056" w:type="dxa"/>
            <w:tcBorders>
              <w:top w:val="single" w:color="000000" w:sz="4" w:space="0"/>
              <w:tl2br w:val="nil"/>
              <w:tr2bl w:val="nil"/>
            </w:tcBorders>
            <w:vAlign w:val="center"/>
          </w:tcPr>
          <w:p w14:paraId="2EDA1514">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4.05±0.26</w:t>
            </w:r>
          </w:p>
        </w:tc>
      </w:tr>
      <w:tr w14:paraId="69A4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03" w:type="dxa"/>
            <w:tcBorders>
              <w:bottom w:val="single" w:color="auto" w:sz="4" w:space="0"/>
            </w:tcBorders>
            <w:vAlign w:val="center"/>
          </w:tcPr>
          <w:p w14:paraId="7EC8E7F6">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介入治疗检查</w:t>
            </w:r>
          </w:p>
        </w:tc>
        <w:tc>
          <w:tcPr>
            <w:tcW w:w="3261" w:type="dxa"/>
            <w:tcBorders>
              <w:bottom w:val="single" w:color="auto" w:sz="4" w:space="0"/>
            </w:tcBorders>
            <w:vAlign w:val="center"/>
          </w:tcPr>
          <w:p w14:paraId="74EB11BA">
            <w:pPr>
              <w:spacing w:line="360" w:lineRule="auto"/>
              <w:jc w:val="center"/>
              <w:rPr>
                <w:rFonts w:hint="eastAsia"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3.05±0.36</w:t>
            </w:r>
          </w:p>
        </w:tc>
        <w:tc>
          <w:tcPr>
            <w:tcW w:w="3056" w:type="dxa"/>
            <w:tcBorders>
              <w:bottom w:val="single" w:color="auto" w:sz="4" w:space="0"/>
            </w:tcBorders>
            <w:vAlign w:val="center"/>
          </w:tcPr>
          <w:p w14:paraId="7BFDC392">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4.06±0.14</w:t>
            </w:r>
          </w:p>
        </w:tc>
      </w:tr>
      <w:tr w14:paraId="0ACE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2903" w:type="dxa"/>
            <w:tcBorders>
              <w:top w:val="single" w:color="auto" w:sz="4" w:space="0"/>
              <w:tl2br w:val="nil"/>
              <w:tr2bl w:val="nil"/>
            </w:tcBorders>
            <w:vAlign w:val="center"/>
          </w:tcPr>
          <w:p w14:paraId="45EA05D1">
            <w:pPr>
              <w:spacing w:line="360" w:lineRule="auto"/>
              <w:jc w:val="center"/>
              <w:rPr>
                <w:rFonts w:hint="eastAsia" w:ascii="Times New Roman" w:hAnsi="Times New Roman" w:eastAsia="宋体" w:cs="宋体"/>
                <w:b w:val="0"/>
                <w:bCs w:val="0"/>
                <w:i/>
                <w:iCs/>
                <w:color w:val="auto"/>
                <w:sz w:val="21"/>
                <w:szCs w:val="18"/>
                <w:vertAlign w:val="baseline"/>
                <w:lang w:val="en-US" w:eastAsia="zh-CN"/>
              </w:rPr>
            </w:pPr>
            <w:r>
              <w:rPr>
                <w:rFonts w:hint="eastAsia" w:ascii="Times New Roman" w:hAnsi="Times New Roman" w:eastAsia="宋体" w:cs="宋体"/>
                <w:b w:val="0"/>
                <w:bCs w:val="0"/>
                <w:i/>
                <w:iCs/>
                <w:color w:val="auto"/>
                <w:sz w:val="21"/>
                <w:szCs w:val="18"/>
                <w:vertAlign w:val="baseline"/>
                <w:lang w:val="en-US" w:eastAsia="zh-CN"/>
              </w:rPr>
              <w:t>t</w:t>
            </w:r>
          </w:p>
        </w:tc>
        <w:tc>
          <w:tcPr>
            <w:tcW w:w="3261" w:type="dxa"/>
            <w:tcBorders>
              <w:top w:val="single" w:color="auto" w:sz="4" w:space="0"/>
              <w:tl2br w:val="nil"/>
              <w:tr2bl w:val="nil"/>
            </w:tcBorders>
            <w:vAlign w:val="center"/>
          </w:tcPr>
          <w:p w14:paraId="24102627">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0.671</w:t>
            </w:r>
          </w:p>
        </w:tc>
        <w:tc>
          <w:tcPr>
            <w:tcW w:w="3056" w:type="dxa"/>
            <w:tcBorders>
              <w:top w:val="single" w:color="auto" w:sz="4" w:space="0"/>
              <w:tl2br w:val="nil"/>
              <w:tr2bl w:val="nil"/>
            </w:tcBorders>
            <w:vAlign w:val="center"/>
          </w:tcPr>
          <w:p w14:paraId="18F50269">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0.332</w:t>
            </w:r>
          </w:p>
        </w:tc>
      </w:tr>
      <w:tr w14:paraId="1331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03" w:type="dxa"/>
            <w:tcBorders>
              <w:bottom w:val="single" w:color="000000" w:sz="4" w:space="0"/>
              <w:tl2br w:val="nil"/>
              <w:tr2bl w:val="nil"/>
            </w:tcBorders>
            <w:vAlign w:val="center"/>
          </w:tcPr>
          <w:p w14:paraId="2F273D50">
            <w:pPr>
              <w:spacing w:line="360" w:lineRule="auto"/>
              <w:jc w:val="center"/>
              <w:rPr>
                <w:rFonts w:hint="eastAsia" w:ascii="Times New Roman" w:hAnsi="Times New Roman" w:eastAsia="宋体" w:cs="宋体"/>
                <w:b w:val="0"/>
                <w:bCs w:val="0"/>
                <w:i/>
                <w:iCs/>
                <w:color w:val="auto"/>
                <w:sz w:val="21"/>
                <w:szCs w:val="18"/>
                <w:vertAlign w:val="baseline"/>
                <w:lang w:val="en-US" w:eastAsia="zh-CN"/>
              </w:rPr>
            </w:pPr>
            <w:r>
              <w:rPr>
                <w:rFonts w:hint="eastAsia" w:ascii="Times New Roman" w:hAnsi="Times New Roman" w:eastAsia="宋体" w:cs="宋体"/>
                <w:b w:val="0"/>
                <w:bCs w:val="0"/>
                <w:i/>
                <w:iCs/>
                <w:color w:val="auto"/>
                <w:sz w:val="21"/>
                <w:szCs w:val="18"/>
                <w:vertAlign w:val="baseline"/>
                <w:lang w:val="en-US" w:eastAsia="zh-CN"/>
              </w:rPr>
              <w:t>P</w:t>
            </w:r>
          </w:p>
        </w:tc>
        <w:tc>
          <w:tcPr>
            <w:tcW w:w="3261" w:type="dxa"/>
            <w:tcBorders>
              <w:bottom w:val="single" w:color="000000" w:sz="4" w:space="0"/>
              <w:tl2br w:val="nil"/>
              <w:tr2bl w:val="nil"/>
            </w:tcBorders>
            <w:vAlign w:val="center"/>
          </w:tcPr>
          <w:p w14:paraId="6522792A">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0.503</w:t>
            </w:r>
          </w:p>
        </w:tc>
        <w:tc>
          <w:tcPr>
            <w:tcW w:w="3056" w:type="dxa"/>
            <w:tcBorders>
              <w:bottom w:val="single" w:color="000000" w:sz="4" w:space="0"/>
              <w:tl2br w:val="nil"/>
              <w:tr2bl w:val="nil"/>
            </w:tcBorders>
            <w:vAlign w:val="center"/>
          </w:tcPr>
          <w:p w14:paraId="53729FED">
            <w:pPr>
              <w:spacing w:line="360" w:lineRule="auto"/>
              <w:jc w:val="center"/>
              <w:rPr>
                <w:rFonts w:hint="default" w:ascii="Times New Roman" w:hAnsi="Times New Roman" w:eastAsia="宋体" w:cs="宋体"/>
                <w:b w:val="0"/>
                <w:bCs w:val="0"/>
                <w:color w:val="auto"/>
                <w:sz w:val="21"/>
                <w:szCs w:val="18"/>
                <w:vertAlign w:val="baseline"/>
                <w:lang w:val="en-US" w:eastAsia="zh-CN"/>
              </w:rPr>
            </w:pPr>
            <w:r>
              <w:rPr>
                <w:rFonts w:hint="eastAsia" w:ascii="Times New Roman" w:hAnsi="Times New Roman" w:eastAsia="宋体" w:cs="宋体"/>
                <w:b w:val="0"/>
                <w:bCs w:val="0"/>
                <w:color w:val="auto"/>
                <w:sz w:val="21"/>
                <w:szCs w:val="18"/>
                <w:vertAlign w:val="baseline"/>
                <w:lang w:val="en-US" w:eastAsia="zh-CN"/>
              </w:rPr>
              <w:t>0.740</w:t>
            </w:r>
          </w:p>
        </w:tc>
      </w:tr>
    </w:tbl>
    <w:p w14:paraId="76BB434C">
      <w:pPr>
        <w:spacing w:line="360" w:lineRule="auto"/>
        <w:jc w:val="both"/>
        <w:rPr>
          <w:rFonts w:hint="default" w:ascii="Times New Roman" w:hAnsi="Times New Roman" w:cs="宋体"/>
          <w:b w:val="0"/>
          <w:bCs w:val="0"/>
          <w:color w:val="000000"/>
          <w:sz w:val="21"/>
          <w:szCs w:val="18"/>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54D1"/>
    <w:rsid w:val="128263E8"/>
    <w:rsid w:val="29477210"/>
    <w:rsid w:val="463A1B76"/>
    <w:rsid w:val="58D67696"/>
    <w:rsid w:val="59246613"/>
    <w:rsid w:val="60397EEB"/>
    <w:rsid w:val="6AA1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b7cf76b-d807-46da-a029-f016272ace00}">
  <ds:schemaRefs/>
</ds:datastoreItem>
</file>

<file path=customXml/itemProps2.xml><?xml version="1.0" encoding="utf-8"?>
<ds:datastoreItem xmlns:ds="http://schemas.openxmlformats.org/officeDocument/2006/customXml" ds:itemID="{fb95ee33-24e2-405e-825a-c585a3b421c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274</Characters>
  <Paragraphs>188</Paragraphs>
  <TotalTime>14</TotalTime>
  <ScaleCrop>false</ScaleCrop>
  <LinksUpToDate>false</LinksUpToDate>
  <CharactersWithSpaces>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2024-01-05T02:33:00Z</dcterms:created>
  <dc:creator>34585</dc:creator>
  <cp:lastModifiedBy>windy</cp:lastModifiedBy>
  <cp:lastPrinted>2024-12-11T03:26:00Z</cp:lastPrinted>
  <dcterms:modified xsi:type="dcterms:W3CDTF">2025-12-04T06:34:26Z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27CB82F3859D4A1F84B27A2CD7CFCA3E_13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