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8DE2A">
      <w:pPr>
        <w:pStyle w:val="14"/>
        <w:spacing w:line="360" w:lineRule="auto"/>
        <w:ind w:firstLine="480"/>
        <w:jc w:val="center"/>
        <w:rPr>
          <w:rFonts w:hint="eastAsia" w:ascii="宋体" w:hAnsi="宋体" w:eastAsia="宋体" w:cs="Times New Roman"/>
          <w:b/>
          <w:bCs/>
          <w:color w:val="auto"/>
          <w:sz w:val="21"/>
          <w:szCs w:val="21"/>
          <w:u w:color="auto"/>
          <w:shd w:val="clear" w:fill="auto"/>
        </w:rPr>
      </w:pPr>
      <w:r>
        <w:rPr>
          <w:rFonts w:ascii="宋体" w:hAnsi="宋体" w:eastAsia="宋体" w:cs="Times New Roman"/>
          <w:b/>
          <w:bCs/>
          <w:color w:val="auto"/>
          <w:sz w:val="21"/>
          <w:szCs w:val="21"/>
          <w:u w:color="auto"/>
          <w:shd w:val="clear" w:fill="auto"/>
        </w:rPr>
        <w:t>表</w:t>
      </w:r>
      <w:r>
        <w:rPr>
          <w:rFonts w:hint="eastAsia" w:ascii="宋体" w:hAnsi="宋体" w:eastAsia="宋体" w:cs="Times New Roman"/>
          <w:b/>
          <w:bCs/>
          <w:color w:val="auto"/>
          <w:sz w:val="21"/>
          <w:szCs w:val="21"/>
          <w:u w:color="auto"/>
          <w:shd w:val="clear" w:fill="auto"/>
        </w:rPr>
        <w:t>3</w:t>
      </w:r>
      <w:r>
        <w:rPr>
          <w:rFonts w:hint="eastAsia" w:ascii="宋体" w:hAnsi="宋体" w:eastAsia="宋体" w:cs="Times New Roman"/>
          <w:b/>
          <w:bCs/>
          <w:color w:val="auto"/>
          <w:sz w:val="21"/>
          <w:szCs w:val="21"/>
          <w:u w:color="auto"/>
          <w:shd w:val="clear" w:fill="auto"/>
          <w:lang w:val="en-US" w:eastAsia="zh-CN"/>
        </w:rPr>
        <w:t xml:space="preserve">  </w:t>
      </w:r>
      <w:r>
        <w:rPr>
          <w:rFonts w:ascii="宋体" w:hAnsi="宋体" w:eastAsia="宋体" w:cs="Times New Roman"/>
          <w:b/>
          <w:bCs/>
          <w:color w:val="auto"/>
          <w:sz w:val="21"/>
          <w:szCs w:val="21"/>
          <w:u w:color="auto"/>
          <w:shd w:val="clear" w:fill="auto"/>
        </w:rPr>
        <w:t xml:space="preserve"> 药源性双硫仑样反应</w:t>
      </w:r>
      <w:r>
        <w:rPr>
          <w:rFonts w:hint="eastAsia" w:ascii="宋体" w:hAnsi="宋体" w:eastAsia="宋体" w:cs="Times New Roman"/>
          <w:b/>
          <w:bCs/>
          <w:color w:val="auto"/>
          <w:sz w:val="21"/>
          <w:szCs w:val="21"/>
          <w:u w:color="auto"/>
          <w:shd w:val="clear" w:fill="auto"/>
        </w:rPr>
        <w:t>医疗损害尸检情况及</w:t>
      </w:r>
      <w:r>
        <w:rPr>
          <w:rFonts w:ascii="宋体" w:hAnsi="宋体" w:eastAsia="宋体" w:cs="Times New Roman"/>
          <w:b/>
          <w:bCs/>
          <w:color w:val="auto"/>
          <w:sz w:val="21"/>
          <w:szCs w:val="21"/>
          <w:u w:color="auto"/>
          <w:shd w:val="clear" w:fill="auto"/>
        </w:rPr>
        <w:t>法院判决</w:t>
      </w:r>
      <w:r>
        <w:rPr>
          <w:rFonts w:hint="eastAsia" w:ascii="宋体" w:hAnsi="宋体" w:eastAsia="宋体" w:cs="Times New Roman"/>
          <w:b/>
          <w:bCs/>
          <w:color w:val="auto"/>
          <w:sz w:val="21"/>
          <w:szCs w:val="21"/>
          <w:u w:color="auto"/>
          <w:shd w:val="clear" w:fill="auto"/>
        </w:rPr>
        <w:t xml:space="preserve"> </w:t>
      </w:r>
    </w:p>
    <w:tbl>
      <w:tblPr>
        <w:tblStyle w:val="8"/>
        <w:tblW w:w="9498"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655"/>
        <w:gridCol w:w="5416"/>
        <w:gridCol w:w="1138"/>
        <w:gridCol w:w="1578"/>
      </w:tblGrid>
      <w:tr w14:paraId="3AACD0D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11" w:type="dxa"/>
            <w:tcBorders>
              <w:top w:val="single" w:color="auto" w:sz="12" w:space="0"/>
              <w:bottom w:val="single" w:color="auto" w:sz="4" w:space="0"/>
            </w:tcBorders>
            <w:noWrap/>
          </w:tcPr>
          <w:p w14:paraId="7C11DF2B">
            <w:pPr>
              <w:pStyle w:val="14"/>
              <w:spacing w:line="360" w:lineRule="auto"/>
              <w:ind w:firstLine="0" w:firstLineChars="0"/>
              <w:jc w:val="left"/>
              <w:rPr>
                <w:rFonts w:hint="eastAsia" w:ascii="宋体" w:hAnsi="宋体" w:eastAsia="宋体" w:cs="Times New Roman"/>
                <w:color w:val="auto"/>
                <w:sz w:val="21"/>
                <w:szCs w:val="21"/>
                <w:u w:color="auto"/>
                <w:shd w:val="clear" w:fill="auto"/>
              </w:rPr>
            </w:pPr>
            <w:bookmarkStart w:id="0" w:name="_GoBack"/>
            <w:r>
              <w:rPr>
                <w:rFonts w:hint="eastAsia" w:ascii="宋体" w:hAnsi="宋体" w:eastAsia="宋体" w:cs="Times New Roman"/>
                <w:color w:val="auto"/>
                <w:sz w:val="21"/>
                <w:szCs w:val="21"/>
                <w:u w:color="auto"/>
                <w:shd w:val="clear" w:fill="auto"/>
              </w:rPr>
              <w:t>案例</w:t>
            </w:r>
          </w:p>
        </w:tc>
        <w:tc>
          <w:tcPr>
            <w:tcW w:w="655" w:type="dxa"/>
            <w:tcBorders>
              <w:top w:val="single" w:color="auto" w:sz="12" w:space="0"/>
              <w:bottom w:val="single" w:color="auto" w:sz="4" w:space="0"/>
            </w:tcBorders>
          </w:tcPr>
          <w:p w14:paraId="2802F447">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val="none" w:color="auto"/>
                <w:shd w:val="clear" w:fill="auto"/>
              </w:rPr>
              <w:t>是否</w:t>
            </w:r>
            <w:r>
              <w:rPr>
                <w:rFonts w:hint="eastAsia" w:ascii="宋体" w:hAnsi="宋体" w:eastAsia="宋体" w:cs="Times New Roman"/>
                <w:color w:val="auto"/>
                <w:sz w:val="21"/>
                <w:szCs w:val="21"/>
                <w:u w:color="auto"/>
                <w:shd w:val="clear" w:fill="auto"/>
              </w:rPr>
              <w:t>尸检</w:t>
            </w:r>
          </w:p>
        </w:tc>
        <w:tc>
          <w:tcPr>
            <w:tcW w:w="5416" w:type="dxa"/>
            <w:tcBorders>
              <w:top w:val="single" w:color="auto" w:sz="12" w:space="0"/>
              <w:bottom w:val="single" w:color="auto" w:sz="4" w:space="0"/>
            </w:tcBorders>
          </w:tcPr>
          <w:p w14:paraId="5D8870E3">
            <w:pPr>
              <w:pStyle w:val="14"/>
              <w:spacing w:line="360" w:lineRule="auto"/>
              <w:ind w:firstLine="0" w:firstLineChars="0"/>
              <w:jc w:val="center"/>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法院意见（含采纳的鉴定意见）</w:t>
            </w:r>
          </w:p>
        </w:tc>
        <w:tc>
          <w:tcPr>
            <w:tcW w:w="1138" w:type="dxa"/>
            <w:tcBorders>
              <w:top w:val="single" w:color="auto" w:sz="12" w:space="0"/>
              <w:bottom w:val="single" w:color="auto" w:sz="4" w:space="0"/>
            </w:tcBorders>
          </w:tcPr>
          <w:p w14:paraId="633164AA">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医方承担责任</w:t>
            </w:r>
            <w:r>
              <w:rPr>
                <w:rFonts w:hint="eastAsia" w:ascii="宋体" w:hAnsi="宋体" w:eastAsia="宋体" w:cs="Times New Roman"/>
                <w:color w:val="auto"/>
                <w:sz w:val="21"/>
                <w:szCs w:val="21"/>
                <w:u w:color="auto"/>
                <w:shd w:val="clear" w:fill="auto"/>
                <w:lang w:val="en-US" w:eastAsia="zh-CN"/>
              </w:rPr>
              <w:t>/</w:t>
            </w:r>
            <w:r>
              <w:rPr>
                <w:rFonts w:ascii="宋体" w:hAnsi="宋体" w:eastAsia="宋体" w:cs="Times New Roman"/>
                <w:color w:val="auto"/>
                <w:sz w:val="21"/>
                <w:szCs w:val="21"/>
                <w:u w:color="auto"/>
                <w:shd w:val="clear" w:fill="auto"/>
              </w:rPr>
              <w:t>%</w:t>
            </w:r>
          </w:p>
        </w:tc>
        <w:tc>
          <w:tcPr>
            <w:tcW w:w="1578" w:type="dxa"/>
            <w:tcBorders>
              <w:top w:val="single" w:color="auto" w:sz="12" w:space="0"/>
              <w:bottom w:val="single" w:color="auto" w:sz="4" w:space="0"/>
            </w:tcBorders>
          </w:tcPr>
          <w:p w14:paraId="01E7ECEC">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赔偿金额</w:t>
            </w:r>
            <w:r>
              <w:rPr>
                <w:rFonts w:hint="eastAsia" w:ascii="宋体" w:hAnsi="宋体" w:eastAsia="宋体" w:cs="Times New Roman"/>
                <w:color w:val="auto"/>
                <w:sz w:val="21"/>
                <w:szCs w:val="21"/>
                <w:u w:color="auto"/>
                <w:shd w:val="clear" w:fill="auto"/>
                <w:lang w:val="en-US" w:eastAsia="zh-CN"/>
              </w:rPr>
              <w:t>/</w:t>
            </w:r>
            <w:r>
              <w:rPr>
                <w:rFonts w:hint="eastAsia" w:ascii="宋体" w:hAnsi="宋体" w:eastAsia="宋体" w:cs="Times New Roman"/>
                <w:color w:val="auto"/>
                <w:sz w:val="21"/>
                <w:szCs w:val="21"/>
                <w:u w:color="auto"/>
                <w:shd w:val="clear" w:fill="auto"/>
              </w:rPr>
              <w:t>元</w:t>
            </w:r>
          </w:p>
        </w:tc>
      </w:tr>
      <w:tr w14:paraId="36BCBB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tcBorders>
              <w:top w:val="single" w:color="auto" w:sz="4" w:space="0"/>
            </w:tcBorders>
            <w:noWrap/>
          </w:tcPr>
          <w:p w14:paraId="121D3508">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w:t>
            </w:r>
          </w:p>
        </w:tc>
        <w:tc>
          <w:tcPr>
            <w:tcW w:w="655" w:type="dxa"/>
            <w:tcBorders>
              <w:top w:val="single" w:color="auto" w:sz="4" w:space="0"/>
            </w:tcBorders>
            <w:noWrap/>
          </w:tcPr>
          <w:p w14:paraId="319C9580">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否</w:t>
            </w:r>
          </w:p>
        </w:tc>
        <w:tc>
          <w:tcPr>
            <w:tcW w:w="5416" w:type="dxa"/>
            <w:tcBorders>
              <w:top w:val="single" w:color="auto" w:sz="4" w:space="0"/>
            </w:tcBorders>
            <w:noWrap/>
          </w:tcPr>
          <w:p w14:paraId="60FE7B61">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医院在已知其大量饮酒的情况下应用头孢类药物；在创伤性休克尚未纠正的情况下选择硬腰联合麻醉方式与理想处理方式存在一定差距，存在医疗过错与不足</w:t>
            </w:r>
          </w:p>
        </w:tc>
        <w:tc>
          <w:tcPr>
            <w:tcW w:w="1138" w:type="dxa"/>
            <w:tcBorders>
              <w:top w:val="single" w:color="auto" w:sz="4" w:space="0"/>
            </w:tcBorders>
            <w:noWrap/>
          </w:tcPr>
          <w:p w14:paraId="71969A03">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60</w:t>
            </w:r>
          </w:p>
        </w:tc>
        <w:tc>
          <w:tcPr>
            <w:tcW w:w="1578" w:type="dxa"/>
            <w:tcBorders>
              <w:top w:val="single" w:color="auto" w:sz="4" w:space="0"/>
            </w:tcBorders>
            <w:noWrap/>
          </w:tcPr>
          <w:p w14:paraId="7FD452A8">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572</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548.2</w:t>
            </w:r>
          </w:p>
        </w:tc>
      </w:tr>
      <w:tr w14:paraId="5A8513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60ED65CA">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2</w:t>
            </w:r>
          </w:p>
        </w:tc>
        <w:tc>
          <w:tcPr>
            <w:tcW w:w="655" w:type="dxa"/>
            <w:noWrap/>
          </w:tcPr>
          <w:p w14:paraId="6B772D12">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val="none" w:color="auto"/>
                <w:shd w:val="clear" w:fill="auto"/>
              </w:rPr>
              <w:t>否</w:t>
            </w:r>
          </w:p>
        </w:tc>
        <w:tc>
          <w:tcPr>
            <w:tcW w:w="5416" w:type="dxa"/>
            <w:noWrap/>
          </w:tcPr>
          <w:p w14:paraId="79582CDD">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医院存在诊断依据不足、违反医疗常规的过错，与患者死亡存在因果关系，医疗过错为主要因素，参与度为75%；死者家属拒绝尸检，致使死亡原因无法确定，减轻医院5%的赔偿责任</w:t>
            </w:r>
          </w:p>
        </w:tc>
        <w:tc>
          <w:tcPr>
            <w:tcW w:w="1138" w:type="dxa"/>
            <w:noWrap/>
          </w:tcPr>
          <w:p w14:paraId="56969E0E">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70</w:t>
            </w:r>
          </w:p>
        </w:tc>
        <w:tc>
          <w:tcPr>
            <w:tcW w:w="1578" w:type="dxa"/>
            <w:noWrap/>
          </w:tcPr>
          <w:p w14:paraId="75A3500A">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756</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172.2</w:t>
            </w:r>
          </w:p>
        </w:tc>
      </w:tr>
      <w:tr w14:paraId="56715DE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1F1A644A">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3</w:t>
            </w:r>
          </w:p>
        </w:tc>
        <w:tc>
          <w:tcPr>
            <w:tcW w:w="655" w:type="dxa"/>
            <w:noWrap/>
          </w:tcPr>
          <w:p w14:paraId="3626D102">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w:t>
            </w:r>
          </w:p>
        </w:tc>
        <w:tc>
          <w:tcPr>
            <w:tcW w:w="5416" w:type="dxa"/>
            <w:noWrap/>
          </w:tcPr>
          <w:p w14:paraId="05F18FA7">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无法鉴定，证据不足，驳回</w:t>
            </w:r>
          </w:p>
        </w:tc>
        <w:tc>
          <w:tcPr>
            <w:tcW w:w="1138" w:type="dxa"/>
            <w:noWrap/>
          </w:tcPr>
          <w:p w14:paraId="6D939FA8">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和解</w:t>
            </w:r>
          </w:p>
        </w:tc>
        <w:tc>
          <w:tcPr>
            <w:tcW w:w="1578" w:type="dxa"/>
            <w:noWrap/>
          </w:tcPr>
          <w:p w14:paraId="3B0E5A76">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200</w:t>
            </w:r>
          </w:p>
        </w:tc>
      </w:tr>
      <w:tr w14:paraId="38CB44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0B4DA39A">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4</w:t>
            </w:r>
          </w:p>
        </w:tc>
        <w:tc>
          <w:tcPr>
            <w:tcW w:w="655" w:type="dxa"/>
            <w:noWrap/>
          </w:tcPr>
          <w:p w14:paraId="0BDA0B17">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否</w:t>
            </w:r>
          </w:p>
        </w:tc>
        <w:tc>
          <w:tcPr>
            <w:tcW w:w="5416" w:type="dxa"/>
            <w:noWrap/>
          </w:tcPr>
          <w:p w14:paraId="186FDFC0">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医师违规开具抗生素处方存在医疗过错；未进行尸检原被告双方均有责任</w:t>
            </w:r>
          </w:p>
        </w:tc>
        <w:tc>
          <w:tcPr>
            <w:tcW w:w="1138" w:type="dxa"/>
            <w:noWrap/>
          </w:tcPr>
          <w:p w14:paraId="7C5DD4D2">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60</w:t>
            </w:r>
          </w:p>
        </w:tc>
        <w:tc>
          <w:tcPr>
            <w:tcW w:w="1578" w:type="dxa"/>
            <w:noWrap/>
          </w:tcPr>
          <w:p w14:paraId="3F5B43ED">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334</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587.5</w:t>
            </w:r>
          </w:p>
        </w:tc>
      </w:tr>
      <w:tr w14:paraId="22EEA8A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5C277BC0">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5</w:t>
            </w:r>
          </w:p>
        </w:tc>
        <w:tc>
          <w:tcPr>
            <w:tcW w:w="655" w:type="dxa"/>
            <w:noWrap/>
          </w:tcPr>
          <w:p w14:paraId="06A41540">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否</w:t>
            </w:r>
          </w:p>
        </w:tc>
        <w:tc>
          <w:tcPr>
            <w:tcW w:w="5416" w:type="dxa"/>
            <w:noWrap/>
          </w:tcPr>
          <w:p w14:paraId="66DC08F6">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诊疗中就相关重要事宜未尽到告知义务；被告篡改、添加病历；未尽到护理、管理的义务；未尸检影响结果裁定</w:t>
            </w:r>
          </w:p>
        </w:tc>
        <w:tc>
          <w:tcPr>
            <w:tcW w:w="1138" w:type="dxa"/>
            <w:noWrap/>
          </w:tcPr>
          <w:p w14:paraId="6315D6E3">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70</w:t>
            </w:r>
          </w:p>
        </w:tc>
        <w:tc>
          <w:tcPr>
            <w:tcW w:w="1578" w:type="dxa"/>
            <w:noWrap/>
          </w:tcPr>
          <w:p w14:paraId="5252863E">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197</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457.5</w:t>
            </w:r>
          </w:p>
        </w:tc>
      </w:tr>
      <w:tr w14:paraId="67E034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47B4DA5A">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6</w:t>
            </w:r>
          </w:p>
        </w:tc>
        <w:tc>
          <w:tcPr>
            <w:tcW w:w="655" w:type="dxa"/>
            <w:noWrap/>
          </w:tcPr>
          <w:p w14:paraId="4CC06119">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否</w:t>
            </w:r>
          </w:p>
        </w:tc>
        <w:tc>
          <w:tcPr>
            <w:tcW w:w="5416" w:type="dxa"/>
            <w:noWrap/>
          </w:tcPr>
          <w:p w14:paraId="7D0EAFCA">
            <w:pPr>
              <w:pStyle w:val="14"/>
              <w:spacing w:line="360" w:lineRule="auto"/>
              <w:ind w:firstLine="0" w:firstLineChars="0"/>
              <w:jc w:val="left"/>
              <w:rPr>
                <w:rFonts w:hint="eastAsia" w:ascii="宋体" w:hAnsi="宋体" w:eastAsia="宋体" w:cs="Times New Roman"/>
                <w:color w:val="auto"/>
                <w:sz w:val="21"/>
                <w:szCs w:val="21"/>
                <w:u w:color="auto"/>
                <w:shd w:val="clear" w:fill="auto"/>
                <w:lang w:eastAsia="zh-CN"/>
              </w:rPr>
            </w:pPr>
            <w:r>
              <w:rPr>
                <w:rFonts w:hint="eastAsia" w:ascii="宋体" w:hAnsi="宋体" w:eastAsia="宋体" w:cs="Times New Roman"/>
                <w:color w:val="auto"/>
                <w:sz w:val="21"/>
                <w:szCs w:val="21"/>
                <w:u w:color="auto"/>
                <w:shd w:val="clear" w:fill="auto"/>
              </w:rPr>
              <w:t>一审二审法院认为双方均无证据证明对损害后果的发生双方都没有过错，且未对死亡</w:t>
            </w:r>
            <w:r>
              <w:rPr>
                <w:rFonts w:hint="eastAsia" w:ascii="宋体" w:hAnsi="宋体" w:eastAsia="宋体" w:cs="Times New Roman"/>
                <w:color w:val="auto"/>
                <w:sz w:val="21"/>
                <w:szCs w:val="21"/>
                <w:u w:val="none" w:color="auto"/>
                <w:shd w:val="clear" w:fill="auto"/>
                <w:lang w:eastAsia="zh-CN"/>
              </w:rPr>
              <w:t>原因进行</w:t>
            </w:r>
            <w:r>
              <w:rPr>
                <w:rFonts w:hint="eastAsia" w:ascii="宋体" w:hAnsi="宋体" w:eastAsia="宋体" w:cs="Times New Roman"/>
                <w:color w:val="auto"/>
                <w:sz w:val="21"/>
                <w:szCs w:val="21"/>
                <w:u w:color="auto"/>
                <w:shd w:val="clear" w:fill="auto"/>
              </w:rPr>
              <w:t>鉴定，原、被告均有一定责任，三审发回重</w:t>
            </w:r>
            <w:r>
              <w:rPr>
                <w:rFonts w:hint="eastAsia" w:ascii="宋体" w:hAnsi="宋体" w:eastAsia="宋体" w:cs="Times New Roman"/>
                <w:color w:val="auto"/>
                <w:sz w:val="21"/>
                <w:szCs w:val="21"/>
                <w:u w:color="auto"/>
                <w:shd w:val="clear" w:fill="auto"/>
                <w:lang w:val="en-US" w:eastAsia="zh-CN"/>
              </w:rPr>
              <w:t>审</w:t>
            </w:r>
          </w:p>
        </w:tc>
        <w:tc>
          <w:tcPr>
            <w:tcW w:w="1138" w:type="dxa"/>
            <w:noWrap/>
          </w:tcPr>
          <w:p w14:paraId="630072AC">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　*</w:t>
            </w:r>
          </w:p>
        </w:tc>
        <w:tc>
          <w:tcPr>
            <w:tcW w:w="1578" w:type="dxa"/>
            <w:noWrap/>
          </w:tcPr>
          <w:p w14:paraId="70837329">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w:t>
            </w:r>
          </w:p>
        </w:tc>
      </w:tr>
      <w:tr w14:paraId="5245172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5BCFA1CB">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7</w:t>
            </w:r>
          </w:p>
        </w:tc>
        <w:tc>
          <w:tcPr>
            <w:tcW w:w="655" w:type="dxa"/>
            <w:noWrap/>
          </w:tcPr>
          <w:p w14:paraId="101CB9D5">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是</w:t>
            </w:r>
          </w:p>
        </w:tc>
        <w:tc>
          <w:tcPr>
            <w:tcW w:w="5416" w:type="dxa"/>
            <w:noWrap/>
          </w:tcPr>
          <w:p w14:paraId="254CDDE0">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未履行必要的检查、告知义务；在明知患者情况危急的情况下，未对症治疗；未充分详细告知患者病情，以利于患者做出选择；用药存在不当</w:t>
            </w:r>
          </w:p>
        </w:tc>
        <w:tc>
          <w:tcPr>
            <w:tcW w:w="1138" w:type="dxa"/>
            <w:noWrap/>
          </w:tcPr>
          <w:p w14:paraId="3673AA4F">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28</w:t>
            </w:r>
          </w:p>
        </w:tc>
        <w:tc>
          <w:tcPr>
            <w:tcW w:w="1578" w:type="dxa"/>
            <w:noWrap/>
          </w:tcPr>
          <w:p w14:paraId="26544FE2">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159</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430.6</w:t>
            </w:r>
          </w:p>
        </w:tc>
      </w:tr>
      <w:tr w14:paraId="220028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6245046E">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8</w:t>
            </w:r>
          </w:p>
        </w:tc>
        <w:tc>
          <w:tcPr>
            <w:tcW w:w="655" w:type="dxa"/>
            <w:noWrap/>
          </w:tcPr>
          <w:p w14:paraId="7CEC8AC2">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是</w:t>
            </w:r>
          </w:p>
        </w:tc>
        <w:tc>
          <w:tcPr>
            <w:tcW w:w="5416" w:type="dxa"/>
            <w:noWrap/>
          </w:tcPr>
          <w:p w14:paraId="17D8DEBD">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 xml:space="preserve">接诊医师实施医疗行为的过程中未尽到合理的注意义务，违反了医生应遵守的诊疗规范，部分导致医疗事故的发生；卫生室医生的医疗行为缺乏有效的规范及管理 </w:t>
            </w:r>
          </w:p>
        </w:tc>
        <w:tc>
          <w:tcPr>
            <w:tcW w:w="1138" w:type="dxa"/>
            <w:noWrap/>
          </w:tcPr>
          <w:p w14:paraId="7F7DA816">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40</w:t>
            </w:r>
          </w:p>
        </w:tc>
        <w:tc>
          <w:tcPr>
            <w:tcW w:w="1578" w:type="dxa"/>
            <w:noWrap/>
          </w:tcPr>
          <w:p w14:paraId="2B435E85">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207</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540.2</w:t>
            </w:r>
          </w:p>
        </w:tc>
      </w:tr>
      <w:tr w14:paraId="70F2ED0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4BF24929">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9</w:t>
            </w:r>
          </w:p>
        </w:tc>
        <w:tc>
          <w:tcPr>
            <w:tcW w:w="655" w:type="dxa"/>
            <w:noWrap/>
          </w:tcPr>
          <w:p w14:paraId="1F71E171">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否</w:t>
            </w:r>
          </w:p>
        </w:tc>
        <w:tc>
          <w:tcPr>
            <w:tcW w:w="5416" w:type="dxa"/>
            <w:noWrap/>
          </w:tcPr>
          <w:p w14:paraId="4BD63BCF">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医方在对患者的诊疗过程中存在医疗瑕疵，对患者的高度注意义务需要加强；未尸检影响</w:t>
            </w:r>
            <w:r>
              <w:rPr>
                <w:rFonts w:hint="eastAsia" w:ascii="宋体" w:hAnsi="宋体" w:eastAsia="宋体" w:cs="Times New Roman"/>
                <w:color w:val="auto"/>
                <w:sz w:val="21"/>
                <w:szCs w:val="21"/>
                <w:u w:val="none" w:color="auto"/>
                <w:shd w:val="clear" w:fill="auto"/>
                <w:lang w:eastAsia="zh-CN"/>
              </w:rPr>
              <w:t>鉴定结果</w:t>
            </w:r>
          </w:p>
        </w:tc>
        <w:tc>
          <w:tcPr>
            <w:tcW w:w="1138" w:type="dxa"/>
            <w:noWrap/>
          </w:tcPr>
          <w:p w14:paraId="268BD1BE">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50</w:t>
            </w:r>
          </w:p>
        </w:tc>
        <w:tc>
          <w:tcPr>
            <w:tcW w:w="1578" w:type="dxa"/>
            <w:noWrap/>
          </w:tcPr>
          <w:p w14:paraId="713FBE05">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273</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107</w:t>
            </w:r>
          </w:p>
        </w:tc>
      </w:tr>
      <w:tr w14:paraId="2112207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139329BC">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10</w:t>
            </w:r>
          </w:p>
        </w:tc>
        <w:tc>
          <w:tcPr>
            <w:tcW w:w="655" w:type="dxa"/>
            <w:noWrap/>
          </w:tcPr>
          <w:p w14:paraId="3E28408F">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是</w:t>
            </w:r>
          </w:p>
        </w:tc>
        <w:tc>
          <w:tcPr>
            <w:tcW w:w="5416" w:type="dxa"/>
            <w:noWrap/>
          </w:tcPr>
          <w:p w14:paraId="1B5845A2">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违反诊疗常规用药；饮酒史采集存在缺陷；处方上未见审核、调配、核对、发药人员签字违反《处方管理办法》；未认真填写门诊日志，违反了《病历书写基本规范》之规定</w:t>
            </w:r>
          </w:p>
        </w:tc>
        <w:tc>
          <w:tcPr>
            <w:tcW w:w="1138" w:type="dxa"/>
            <w:noWrap/>
          </w:tcPr>
          <w:p w14:paraId="5FAEB4CC">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60</w:t>
            </w:r>
          </w:p>
        </w:tc>
        <w:tc>
          <w:tcPr>
            <w:tcW w:w="1578" w:type="dxa"/>
            <w:noWrap/>
          </w:tcPr>
          <w:p w14:paraId="652DF454">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520</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670.4</w:t>
            </w:r>
          </w:p>
        </w:tc>
      </w:tr>
      <w:tr w14:paraId="302AB80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25FB7FEF">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11</w:t>
            </w:r>
          </w:p>
        </w:tc>
        <w:tc>
          <w:tcPr>
            <w:tcW w:w="655" w:type="dxa"/>
            <w:noWrap/>
          </w:tcPr>
          <w:p w14:paraId="5F0B5E58">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 xml:space="preserve">否 </w:t>
            </w:r>
          </w:p>
        </w:tc>
        <w:tc>
          <w:tcPr>
            <w:tcW w:w="5416" w:type="dxa"/>
            <w:noWrap/>
          </w:tcPr>
          <w:p w14:paraId="68B205BB">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存在用药不当的客观过错行为，存在引发双硫仑样反应的</w:t>
            </w:r>
            <w:r>
              <w:rPr>
                <w:rFonts w:hint="eastAsia" w:ascii="宋体" w:hAnsi="宋体" w:eastAsia="宋体" w:cs="Times New Roman"/>
                <w:color w:val="auto"/>
                <w:sz w:val="21"/>
                <w:szCs w:val="21"/>
                <w:u w:val="none" w:color="auto"/>
                <w:shd w:val="clear" w:fill="auto"/>
                <w:lang w:eastAsia="zh-CN"/>
              </w:rPr>
              <w:t>可能性</w:t>
            </w:r>
            <w:r>
              <w:rPr>
                <w:rFonts w:hint="eastAsia" w:ascii="宋体" w:hAnsi="宋体" w:eastAsia="宋体" w:cs="Times New Roman"/>
                <w:color w:val="auto"/>
                <w:sz w:val="21"/>
                <w:szCs w:val="21"/>
                <w:u w:color="auto"/>
                <w:shd w:val="clear" w:fill="auto"/>
              </w:rPr>
              <w:t>，诱发患者自身的其他疾病，同时医院未能在患者病情突发变化之际及时诊察治疗；</w:t>
            </w:r>
            <w:r>
              <w:rPr>
                <w:rFonts w:hint="eastAsia" w:ascii="宋体" w:hAnsi="宋体" w:eastAsia="宋体" w:cs="Times New Roman"/>
                <w:color w:val="auto"/>
                <w:sz w:val="21"/>
                <w:szCs w:val="21"/>
                <w:u w:val="none" w:color="auto"/>
                <w:shd w:val="clear" w:fill="auto"/>
                <w:lang w:eastAsia="zh-CN"/>
              </w:rPr>
              <w:t>未进行</w:t>
            </w:r>
            <w:r>
              <w:rPr>
                <w:rFonts w:hint="eastAsia" w:ascii="宋体" w:hAnsi="宋体" w:eastAsia="宋体" w:cs="Times New Roman"/>
                <w:color w:val="auto"/>
                <w:sz w:val="21"/>
                <w:szCs w:val="21"/>
                <w:u w:color="auto"/>
                <w:shd w:val="clear" w:fill="auto"/>
              </w:rPr>
              <w:t>尸检影响结果鉴定</w:t>
            </w:r>
          </w:p>
        </w:tc>
        <w:tc>
          <w:tcPr>
            <w:tcW w:w="1138" w:type="dxa"/>
            <w:noWrap/>
          </w:tcPr>
          <w:p w14:paraId="0DC39CB8">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60</w:t>
            </w:r>
          </w:p>
        </w:tc>
        <w:tc>
          <w:tcPr>
            <w:tcW w:w="1578" w:type="dxa"/>
            <w:noWrap/>
          </w:tcPr>
          <w:p w14:paraId="5EFD839B">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420</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377.4</w:t>
            </w:r>
          </w:p>
        </w:tc>
      </w:tr>
      <w:tr w14:paraId="0D73F2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714CB180">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12</w:t>
            </w:r>
          </w:p>
        </w:tc>
        <w:tc>
          <w:tcPr>
            <w:tcW w:w="655" w:type="dxa"/>
            <w:noWrap/>
          </w:tcPr>
          <w:p w14:paraId="443EE975">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w:t>
            </w:r>
          </w:p>
        </w:tc>
        <w:tc>
          <w:tcPr>
            <w:tcW w:w="5416" w:type="dxa"/>
            <w:noWrap/>
          </w:tcPr>
          <w:p w14:paraId="3ADC4D13">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 xml:space="preserve">没有有效询问饮酒史，无相关记录；没有履行禁酒告知义务；原始记录不全，如门诊登记，仅提供的处方中没有诊断，没有皮试记录；出现输液反应后，处置措施不够规范 </w:t>
            </w:r>
          </w:p>
        </w:tc>
        <w:tc>
          <w:tcPr>
            <w:tcW w:w="1138" w:type="dxa"/>
            <w:noWrap/>
          </w:tcPr>
          <w:p w14:paraId="6421709D">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60</w:t>
            </w:r>
          </w:p>
        </w:tc>
        <w:tc>
          <w:tcPr>
            <w:tcW w:w="1578" w:type="dxa"/>
            <w:noWrap/>
          </w:tcPr>
          <w:p w14:paraId="60DE48A6">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616</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354</w:t>
            </w:r>
          </w:p>
        </w:tc>
      </w:tr>
      <w:tr w14:paraId="089A50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042B07C2">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13</w:t>
            </w:r>
          </w:p>
        </w:tc>
        <w:tc>
          <w:tcPr>
            <w:tcW w:w="655" w:type="dxa"/>
            <w:noWrap/>
          </w:tcPr>
          <w:p w14:paraId="713E86ED">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是</w:t>
            </w:r>
          </w:p>
        </w:tc>
        <w:tc>
          <w:tcPr>
            <w:tcW w:w="5416" w:type="dxa"/>
            <w:noWrap/>
          </w:tcPr>
          <w:p w14:paraId="7423C332">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出现不良反应后未予重视，未及时采取有效治疗等存在一定过错</w:t>
            </w:r>
          </w:p>
        </w:tc>
        <w:tc>
          <w:tcPr>
            <w:tcW w:w="1138" w:type="dxa"/>
            <w:noWrap/>
          </w:tcPr>
          <w:p w14:paraId="0F4E5185">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 xml:space="preserve">30 </w:t>
            </w:r>
          </w:p>
        </w:tc>
        <w:tc>
          <w:tcPr>
            <w:tcW w:w="1578" w:type="dxa"/>
            <w:noWrap/>
          </w:tcPr>
          <w:p w14:paraId="39F4AE01">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217</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365.4</w:t>
            </w:r>
          </w:p>
        </w:tc>
      </w:tr>
      <w:tr w14:paraId="1953A8F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0A6645B5">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14</w:t>
            </w:r>
          </w:p>
        </w:tc>
        <w:tc>
          <w:tcPr>
            <w:tcW w:w="655" w:type="dxa"/>
            <w:noWrap/>
          </w:tcPr>
          <w:p w14:paraId="184F5F4A">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否</w:t>
            </w:r>
          </w:p>
        </w:tc>
        <w:tc>
          <w:tcPr>
            <w:tcW w:w="5416" w:type="dxa"/>
            <w:noWrap/>
          </w:tcPr>
          <w:p w14:paraId="2B89E650">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患者死于呼吸循环衰竭，诊疗和抢救行为存在过失，属轻微原因</w:t>
            </w:r>
          </w:p>
        </w:tc>
        <w:tc>
          <w:tcPr>
            <w:tcW w:w="1138" w:type="dxa"/>
            <w:noWrap/>
          </w:tcPr>
          <w:p w14:paraId="4AE6A419">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15</w:t>
            </w:r>
          </w:p>
        </w:tc>
        <w:tc>
          <w:tcPr>
            <w:tcW w:w="1578" w:type="dxa"/>
            <w:noWrap/>
          </w:tcPr>
          <w:p w14:paraId="63F7E26F">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43</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092.4</w:t>
            </w:r>
          </w:p>
        </w:tc>
      </w:tr>
      <w:tr w14:paraId="711BECB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03108135">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15</w:t>
            </w:r>
          </w:p>
        </w:tc>
        <w:tc>
          <w:tcPr>
            <w:tcW w:w="655" w:type="dxa"/>
            <w:noWrap/>
          </w:tcPr>
          <w:p w14:paraId="7BDE5548">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w:t>
            </w:r>
          </w:p>
        </w:tc>
        <w:tc>
          <w:tcPr>
            <w:tcW w:w="5416" w:type="dxa"/>
            <w:noWrap/>
          </w:tcPr>
          <w:p w14:paraId="30DB2860">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未主动询问其早餐饮食，亦未</w:t>
            </w:r>
            <w:r>
              <w:rPr>
                <w:rFonts w:hint="eastAsia" w:ascii="宋体" w:hAnsi="宋体" w:eastAsia="宋体" w:cs="Times New Roman"/>
                <w:color w:val="auto"/>
                <w:sz w:val="21"/>
                <w:szCs w:val="21"/>
                <w:u w:color="auto"/>
                <w:shd w:val="clear" w:fill="auto"/>
                <w:lang w:eastAsia="zh-CN"/>
              </w:rPr>
              <w:t>做</w:t>
            </w:r>
            <w:r>
              <w:rPr>
                <w:rFonts w:hint="eastAsia" w:ascii="宋体" w:hAnsi="宋体" w:eastAsia="宋体" w:cs="Times New Roman"/>
                <w:color w:val="auto"/>
                <w:sz w:val="21"/>
                <w:szCs w:val="21"/>
                <w:u w:color="auto"/>
                <w:shd w:val="clear" w:fill="auto"/>
              </w:rPr>
              <w:t>皮试的情况下，为原告静脉输入头孢类抗</w:t>
            </w:r>
            <w:r>
              <w:rPr>
                <w:rFonts w:hint="eastAsia" w:ascii="宋体" w:hAnsi="宋体" w:eastAsia="宋体" w:cs="Times New Roman"/>
                <w:color w:val="auto"/>
                <w:sz w:val="21"/>
                <w:szCs w:val="21"/>
                <w:u w:color="auto"/>
                <w:shd w:val="clear" w:fill="auto"/>
                <w:lang w:val="en-US" w:eastAsia="zh-CN"/>
              </w:rPr>
              <w:t>菌药物</w:t>
            </w:r>
            <w:r>
              <w:rPr>
                <w:rFonts w:hint="eastAsia" w:ascii="宋体" w:hAnsi="宋体" w:eastAsia="宋体" w:cs="Times New Roman"/>
                <w:color w:val="auto"/>
                <w:sz w:val="21"/>
                <w:szCs w:val="21"/>
                <w:u w:color="auto"/>
                <w:shd w:val="clear" w:fill="auto"/>
              </w:rPr>
              <w:t>，诊疗过程中未尽到对青霉素药物使用禁忌事项的告知义务及相应的注意义务</w:t>
            </w:r>
          </w:p>
        </w:tc>
        <w:tc>
          <w:tcPr>
            <w:tcW w:w="1138" w:type="dxa"/>
            <w:noWrap/>
          </w:tcPr>
          <w:p w14:paraId="0B039ED7">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40</w:t>
            </w:r>
          </w:p>
        </w:tc>
        <w:tc>
          <w:tcPr>
            <w:tcW w:w="1578" w:type="dxa"/>
            <w:noWrap/>
          </w:tcPr>
          <w:p w14:paraId="3025695E">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378</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984</w:t>
            </w:r>
          </w:p>
        </w:tc>
      </w:tr>
      <w:tr w14:paraId="62A49F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1CAC3578">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16</w:t>
            </w:r>
          </w:p>
        </w:tc>
        <w:tc>
          <w:tcPr>
            <w:tcW w:w="655" w:type="dxa"/>
            <w:noWrap/>
          </w:tcPr>
          <w:p w14:paraId="29EF5CA6">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是</w:t>
            </w:r>
          </w:p>
        </w:tc>
        <w:tc>
          <w:tcPr>
            <w:tcW w:w="5416" w:type="dxa"/>
            <w:noWrap/>
          </w:tcPr>
          <w:p w14:paraId="59616033">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诊疗过程中存在过错，该过错与患者死亡之间存在一定因果关系，建议过错参与度为轻微原因</w:t>
            </w:r>
          </w:p>
        </w:tc>
        <w:tc>
          <w:tcPr>
            <w:tcW w:w="1138" w:type="dxa"/>
            <w:noWrap/>
          </w:tcPr>
          <w:p w14:paraId="32684E08">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10</w:t>
            </w:r>
          </w:p>
        </w:tc>
        <w:tc>
          <w:tcPr>
            <w:tcW w:w="1578" w:type="dxa"/>
            <w:noWrap/>
          </w:tcPr>
          <w:p w14:paraId="7610B5F4">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121</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931.5</w:t>
            </w:r>
          </w:p>
        </w:tc>
      </w:tr>
      <w:tr w14:paraId="2E4DDD6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05673CFF">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17</w:t>
            </w:r>
          </w:p>
        </w:tc>
        <w:tc>
          <w:tcPr>
            <w:tcW w:w="655" w:type="dxa"/>
            <w:noWrap/>
          </w:tcPr>
          <w:p w14:paraId="739D5DE1">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否</w:t>
            </w:r>
          </w:p>
        </w:tc>
        <w:tc>
          <w:tcPr>
            <w:tcW w:w="5416" w:type="dxa"/>
            <w:noWrap/>
          </w:tcPr>
          <w:p w14:paraId="6E1C0A1B">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诊疗过程中存在一定的用药过失，诊疗服务中未尽到与当时的医疗水平相应的诊疗义务，存在过错；未尸检影响</w:t>
            </w:r>
            <w:r>
              <w:rPr>
                <w:rFonts w:hint="eastAsia" w:ascii="宋体" w:hAnsi="宋体" w:eastAsia="宋体" w:cs="Times New Roman"/>
                <w:color w:val="auto"/>
                <w:sz w:val="21"/>
                <w:szCs w:val="21"/>
                <w:u w:val="none" w:color="auto"/>
                <w:shd w:val="clear" w:fill="auto"/>
              </w:rPr>
              <w:t>结果鉴定</w:t>
            </w:r>
          </w:p>
        </w:tc>
        <w:tc>
          <w:tcPr>
            <w:tcW w:w="1138" w:type="dxa"/>
            <w:noWrap/>
          </w:tcPr>
          <w:p w14:paraId="1D258562">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15</w:t>
            </w:r>
          </w:p>
        </w:tc>
        <w:tc>
          <w:tcPr>
            <w:tcW w:w="1578" w:type="dxa"/>
            <w:noWrap/>
          </w:tcPr>
          <w:p w14:paraId="5BFAD9B9">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64</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613.6</w:t>
            </w:r>
          </w:p>
        </w:tc>
      </w:tr>
      <w:tr w14:paraId="4ADB70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1" w:type="dxa"/>
            <w:noWrap/>
          </w:tcPr>
          <w:p w14:paraId="6C561DDD">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18</w:t>
            </w:r>
          </w:p>
        </w:tc>
        <w:tc>
          <w:tcPr>
            <w:tcW w:w="655" w:type="dxa"/>
            <w:noWrap/>
          </w:tcPr>
          <w:p w14:paraId="14F82295">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val="none" w:color="auto"/>
                <w:shd w:val="clear" w:fill="auto"/>
              </w:rPr>
              <w:t>否</w:t>
            </w:r>
          </w:p>
        </w:tc>
        <w:tc>
          <w:tcPr>
            <w:tcW w:w="5416" w:type="dxa"/>
            <w:noWrap/>
          </w:tcPr>
          <w:p w14:paraId="434C5722">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存在一定的医疗过错，医疗过错与患者发生双硫仑样反应经抢救无效死亡存在一定的因果关系；医疗过错责任程度为次要责任。</w:t>
            </w:r>
          </w:p>
        </w:tc>
        <w:tc>
          <w:tcPr>
            <w:tcW w:w="1138" w:type="dxa"/>
            <w:noWrap/>
          </w:tcPr>
          <w:p w14:paraId="099CBF80">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30</w:t>
            </w:r>
          </w:p>
        </w:tc>
        <w:tc>
          <w:tcPr>
            <w:tcW w:w="1578" w:type="dxa"/>
            <w:noWrap/>
          </w:tcPr>
          <w:p w14:paraId="0F78D0A3">
            <w:pPr>
              <w:pStyle w:val="14"/>
              <w:spacing w:line="360" w:lineRule="auto"/>
              <w:ind w:firstLine="0" w:firstLineChars="0"/>
              <w:jc w:val="left"/>
              <w:rPr>
                <w:rFonts w:hint="eastAsia" w:ascii="宋体" w:hAnsi="宋体" w:eastAsia="宋体" w:cs="Times New Roman"/>
                <w:color w:val="auto"/>
                <w:sz w:val="21"/>
                <w:szCs w:val="21"/>
                <w:u w:color="auto"/>
                <w:shd w:val="clear" w:fill="auto"/>
              </w:rPr>
            </w:pPr>
            <w:r>
              <w:rPr>
                <w:rFonts w:hint="eastAsia" w:ascii="宋体" w:hAnsi="宋体" w:eastAsia="宋体" w:cs="Times New Roman"/>
                <w:color w:val="auto"/>
                <w:sz w:val="21"/>
                <w:szCs w:val="21"/>
                <w:u w:color="auto"/>
                <w:shd w:val="clear" w:fill="auto"/>
              </w:rPr>
              <w:t>265</w:t>
            </w:r>
            <w:r>
              <w:rPr>
                <w:rFonts w:hint="eastAsia" w:ascii="宋体" w:hAnsi="宋体" w:eastAsia="宋体" w:cs="Times New Roman"/>
                <w:color w:val="auto"/>
                <w:sz w:val="21"/>
                <w:szCs w:val="21"/>
                <w:u w:color="auto"/>
                <w:shd w:val="clear" w:fill="auto"/>
                <w:lang w:val="en-US" w:eastAsia="zh-CN"/>
              </w:rPr>
              <w:t xml:space="preserve"> </w:t>
            </w:r>
            <w:r>
              <w:rPr>
                <w:rFonts w:hint="eastAsia" w:ascii="宋体" w:hAnsi="宋体" w:eastAsia="宋体" w:cs="Times New Roman"/>
                <w:color w:val="auto"/>
                <w:sz w:val="21"/>
                <w:szCs w:val="21"/>
                <w:u w:color="auto"/>
                <w:shd w:val="clear" w:fill="auto"/>
              </w:rPr>
              <w:t>786.5</w:t>
            </w:r>
          </w:p>
        </w:tc>
      </w:tr>
      <w:bookmarkEnd w:id="0"/>
    </w:tbl>
    <w:p w14:paraId="25D9ADEB">
      <w:pPr>
        <w:spacing w:line="360" w:lineRule="auto"/>
        <w:jc w:val="left"/>
        <w:rPr>
          <w:rFonts w:hint="eastAsia" w:ascii="宋体" w:hAnsi="宋体" w:eastAsia="宋体" w:cs="Times New Roman"/>
          <w:color w:val="auto"/>
          <w:sz w:val="21"/>
          <w:szCs w:val="21"/>
          <w:u w:color="auto"/>
          <w:shd w:val="clear" w:fill="auto"/>
        </w:rPr>
      </w:pPr>
      <w:r>
        <w:rPr>
          <w:rFonts w:ascii="宋体" w:hAnsi="宋体" w:eastAsia="宋体" w:cs="Times New Roman"/>
          <w:color w:val="auto"/>
          <w:sz w:val="21"/>
          <w:szCs w:val="21"/>
          <w:u w:color="auto"/>
          <w:shd w:val="clear" w:fill="auto"/>
        </w:rPr>
        <w:t>注： “/”表示</w:t>
      </w:r>
      <w:r>
        <w:rPr>
          <w:rFonts w:hint="eastAsia" w:ascii="宋体" w:hAnsi="宋体" w:eastAsia="宋体" w:cs="Times New Roman"/>
          <w:color w:val="auto"/>
          <w:sz w:val="21"/>
          <w:szCs w:val="21"/>
          <w:u w:color="auto"/>
          <w:shd w:val="clear" w:fill="auto"/>
        </w:rPr>
        <w:t>不存在尸检情况，</w:t>
      </w:r>
      <w:r>
        <w:rPr>
          <w:rFonts w:ascii="宋体" w:hAnsi="宋体" w:eastAsia="宋体" w:cs="Times New Roman"/>
          <w:color w:val="auto"/>
          <w:sz w:val="21"/>
          <w:szCs w:val="21"/>
          <w:u w:color="auto"/>
          <w:shd w:val="clear" w:fill="auto"/>
        </w:rPr>
        <w:t>“</w:t>
      </w:r>
      <w:r>
        <w:rPr>
          <w:rFonts w:hint="eastAsia" w:ascii="宋体" w:hAnsi="宋体" w:eastAsia="宋体" w:cs="Times New Roman"/>
          <w:color w:val="auto"/>
          <w:sz w:val="21"/>
          <w:szCs w:val="21"/>
          <w:u w:color="auto"/>
          <w:shd w:val="clear" w:fill="auto"/>
        </w:rPr>
        <w:t>*</w:t>
      </w:r>
      <w:r>
        <w:rPr>
          <w:rFonts w:ascii="宋体" w:hAnsi="宋体" w:eastAsia="宋体" w:cs="Times New Roman"/>
          <w:color w:val="auto"/>
          <w:sz w:val="21"/>
          <w:szCs w:val="21"/>
          <w:u w:color="auto"/>
          <w:shd w:val="clear" w:fill="auto"/>
        </w:rPr>
        <w:t>”表示裁判文书</w:t>
      </w:r>
      <w:r>
        <w:rPr>
          <w:rFonts w:hint="eastAsia" w:ascii="宋体" w:hAnsi="宋体" w:eastAsia="宋体" w:cs="Times New Roman"/>
          <w:color w:val="auto"/>
          <w:sz w:val="21"/>
          <w:szCs w:val="21"/>
          <w:u w:color="auto"/>
          <w:shd w:val="clear" w:fill="auto"/>
        </w:rPr>
        <w:t>未公开三审判决结果</w:t>
      </w:r>
      <w:r>
        <w:rPr>
          <w:rFonts w:hint="eastAsia" w:ascii="宋体" w:hAnsi="宋体" w:eastAsia="宋体" w:cs="Times New Roman"/>
          <w:color w:val="auto"/>
          <w:sz w:val="21"/>
          <w:szCs w:val="21"/>
          <w:u w:color="auto"/>
          <w:shd w:val="clear" w:fill="auto"/>
          <w:lang w:eastAsia="zh-CN"/>
        </w:rPr>
        <w:t>。</w:t>
      </w:r>
    </w:p>
    <w:p w14:paraId="2A9CDDAD">
      <w:pPr>
        <w:spacing w:line="360" w:lineRule="auto"/>
        <w:jc w:val="left"/>
        <w:rPr>
          <w:rFonts w:hint="default" w:ascii="Times New Roman" w:hAnsi="Times New Roman" w:eastAsia="宋体" w:cs="Times New Roman"/>
          <w:color w:val="auto"/>
          <w:sz w:val="21"/>
          <w:szCs w:val="21"/>
          <w:u w:color="auto"/>
          <w:shd w:val="clear" w:fill="auto"/>
          <w:lang w:val="en-US" w:eastAsia="zh-CN"/>
        </w:rPr>
      </w:pP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B0"/>
    <w:rsid w:val="00005EB3"/>
    <w:rsid w:val="000067E4"/>
    <w:rsid w:val="0002069B"/>
    <w:rsid w:val="00027A44"/>
    <w:rsid w:val="00032516"/>
    <w:rsid w:val="0003742D"/>
    <w:rsid w:val="00042566"/>
    <w:rsid w:val="000634F3"/>
    <w:rsid w:val="000656BE"/>
    <w:rsid w:val="000679DD"/>
    <w:rsid w:val="000716CC"/>
    <w:rsid w:val="00075430"/>
    <w:rsid w:val="00075724"/>
    <w:rsid w:val="00080A54"/>
    <w:rsid w:val="00080BCE"/>
    <w:rsid w:val="0008264B"/>
    <w:rsid w:val="000A1A16"/>
    <w:rsid w:val="000A4B74"/>
    <w:rsid w:val="000A7677"/>
    <w:rsid w:val="000B3305"/>
    <w:rsid w:val="000B7C0C"/>
    <w:rsid w:val="000C68A4"/>
    <w:rsid w:val="000C691F"/>
    <w:rsid w:val="000D2DE4"/>
    <w:rsid w:val="000D30C1"/>
    <w:rsid w:val="000F3003"/>
    <w:rsid w:val="000F4905"/>
    <w:rsid w:val="001021D6"/>
    <w:rsid w:val="001033DE"/>
    <w:rsid w:val="0010476A"/>
    <w:rsid w:val="00106CA4"/>
    <w:rsid w:val="00110355"/>
    <w:rsid w:val="00110772"/>
    <w:rsid w:val="00113A3E"/>
    <w:rsid w:val="001147D5"/>
    <w:rsid w:val="001175DD"/>
    <w:rsid w:val="001232E8"/>
    <w:rsid w:val="0012554B"/>
    <w:rsid w:val="00125FB9"/>
    <w:rsid w:val="00127C34"/>
    <w:rsid w:val="0013021B"/>
    <w:rsid w:val="00131854"/>
    <w:rsid w:val="001340CF"/>
    <w:rsid w:val="00141746"/>
    <w:rsid w:val="00180AD5"/>
    <w:rsid w:val="001818FA"/>
    <w:rsid w:val="00181AC3"/>
    <w:rsid w:val="0018778E"/>
    <w:rsid w:val="001879F5"/>
    <w:rsid w:val="001A2192"/>
    <w:rsid w:val="001A28B5"/>
    <w:rsid w:val="001A685A"/>
    <w:rsid w:val="001A71C4"/>
    <w:rsid w:val="001B139A"/>
    <w:rsid w:val="001B2081"/>
    <w:rsid w:val="001B255E"/>
    <w:rsid w:val="001B3155"/>
    <w:rsid w:val="001B54F8"/>
    <w:rsid w:val="001C1901"/>
    <w:rsid w:val="001D023E"/>
    <w:rsid w:val="001D2806"/>
    <w:rsid w:val="001D6006"/>
    <w:rsid w:val="001D71CF"/>
    <w:rsid w:val="001E0F58"/>
    <w:rsid w:val="001F0EF8"/>
    <w:rsid w:val="001F1667"/>
    <w:rsid w:val="001F5665"/>
    <w:rsid w:val="00200364"/>
    <w:rsid w:val="00200F65"/>
    <w:rsid w:val="00203DA3"/>
    <w:rsid w:val="0020497F"/>
    <w:rsid w:val="00213653"/>
    <w:rsid w:val="002161AC"/>
    <w:rsid w:val="002163BE"/>
    <w:rsid w:val="00223B5E"/>
    <w:rsid w:val="002341CF"/>
    <w:rsid w:val="002359FA"/>
    <w:rsid w:val="002400FD"/>
    <w:rsid w:val="00240CF6"/>
    <w:rsid w:val="0024190D"/>
    <w:rsid w:val="0025239E"/>
    <w:rsid w:val="002706D3"/>
    <w:rsid w:val="00272DFD"/>
    <w:rsid w:val="00273D1F"/>
    <w:rsid w:val="00276AD6"/>
    <w:rsid w:val="002772F7"/>
    <w:rsid w:val="002812E0"/>
    <w:rsid w:val="002851D6"/>
    <w:rsid w:val="002870BA"/>
    <w:rsid w:val="00291951"/>
    <w:rsid w:val="002970B5"/>
    <w:rsid w:val="002975F8"/>
    <w:rsid w:val="002B76DE"/>
    <w:rsid w:val="002D2E6B"/>
    <w:rsid w:val="002D6632"/>
    <w:rsid w:val="002E119E"/>
    <w:rsid w:val="002E7B28"/>
    <w:rsid w:val="002F6DDF"/>
    <w:rsid w:val="003003E1"/>
    <w:rsid w:val="00301C29"/>
    <w:rsid w:val="00310412"/>
    <w:rsid w:val="00316CDA"/>
    <w:rsid w:val="00324064"/>
    <w:rsid w:val="003259A0"/>
    <w:rsid w:val="00326B85"/>
    <w:rsid w:val="00330942"/>
    <w:rsid w:val="0033246F"/>
    <w:rsid w:val="00333493"/>
    <w:rsid w:val="00335227"/>
    <w:rsid w:val="00340E0C"/>
    <w:rsid w:val="0034104A"/>
    <w:rsid w:val="00353115"/>
    <w:rsid w:val="00355388"/>
    <w:rsid w:val="00363CC5"/>
    <w:rsid w:val="00380BA5"/>
    <w:rsid w:val="00390807"/>
    <w:rsid w:val="003927DB"/>
    <w:rsid w:val="00392F48"/>
    <w:rsid w:val="003A6BDC"/>
    <w:rsid w:val="003A7E45"/>
    <w:rsid w:val="003B47E1"/>
    <w:rsid w:val="003B4996"/>
    <w:rsid w:val="003C5413"/>
    <w:rsid w:val="003D0D8C"/>
    <w:rsid w:val="003D15E1"/>
    <w:rsid w:val="003D32CD"/>
    <w:rsid w:val="003F060D"/>
    <w:rsid w:val="003F13F1"/>
    <w:rsid w:val="003F2179"/>
    <w:rsid w:val="003F22AB"/>
    <w:rsid w:val="003F3084"/>
    <w:rsid w:val="003F4B6A"/>
    <w:rsid w:val="003F57DC"/>
    <w:rsid w:val="00415360"/>
    <w:rsid w:val="00416475"/>
    <w:rsid w:val="00417921"/>
    <w:rsid w:val="00421C3E"/>
    <w:rsid w:val="00424FA9"/>
    <w:rsid w:val="004251D3"/>
    <w:rsid w:val="004254FB"/>
    <w:rsid w:val="00425E38"/>
    <w:rsid w:val="00425E6D"/>
    <w:rsid w:val="00430AA6"/>
    <w:rsid w:val="00433165"/>
    <w:rsid w:val="00433908"/>
    <w:rsid w:val="0045585B"/>
    <w:rsid w:val="00464750"/>
    <w:rsid w:val="00470DE8"/>
    <w:rsid w:val="0047678D"/>
    <w:rsid w:val="00480CA6"/>
    <w:rsid w:val="00480F36"/>
    <w:rsid w:val="00483D2C"/>
    <w:rsid w:val="00486B57"/>
    <w:rsid w:val="00492814"/>
    <w:rsid w:val="00493B96"/>
    <w:rsid w:val="00493C36"/>
    <w:rsid w:val="004A1271"/>
    <w:rsid w:val="004A404D"/>
    <w:rsid w:val="004B2285"/>
    <w:rsid w:val="004B4E4D"/>
    <w:rsid w:val="004B576D"/>
    <w:rsid w:val="004B5E97"/>
    <w:rsid w:val="004C227B"/>
    <w:rsid w:val="004D1E3E"/>
    <w:rsid w:val="004E1149"/>
    <w:rsid w:val="004E40A9"/>
    <w:rsid w:val="004F4D15"/>
    <w:rsid w:val="004F7071"/>
    <w:rsid w:val="00520540"/>
    <w:rsid w:val="00520A89"/>
    <w:rsid w:val="005218BE"/>
    <w:rsid w:val="00523FB1"/>
    <w:rsid w:val="00526FE2"/>
    <w:rsid w:val="005278C2"/>
    <w:rsid w:val="00527952"/>
    <w:rsid w:val="00534856"/>
    <w:rsid w:val="005425FC"/>
    <w:rsid w:val="00543BCA"/>
    <w:rsid w:val="0054431D"/>
    <w:rsid w:val="0054483F"/>
    <w:rsid w:val="005457C8"/>
    <w:rsid w:val="0055091A"/>
    <w:rsid w:val="00552A89"/>
    <w:rsid w:val="00562177"/>
    <w:rsid w:val="00566C21"/>
    <w:rsid w:val="00570309"/>
    <w:rsid w:val="00571328"/>
    <w:rsid w:val="00574BB6"/>
    <w:rsid w:val="00575810"/>
    <w:rsid w:val="005767ED"/>
    <w:rsid w:val="00577D0B"/>
    <w:rsid w:val="00581982"/>
    <w:rsid w:val="005827FF"/>
    <w:rsid w:val="00594A17"/>
    <w:rsid w:val="0059708A"/>
    <w:rsid w:val="005972DA"/>
    <w:rsid w:val="005A3ED5"/>
    <w:rsid w:val="005B0ADA"/>
    <w:rsid w:val="005B2823"/>
    <w:rsid w:val="005B5643"/>
    <w:rsid w:val="005C1D28"/>
    <w:rsid w:val="005C6130"/>
    <w:rsid w:val="005D0F8C"/>
    <w:rsid w:val="005D21FE"/>
    <w:rsid w:val="005D2852"/>
    <w:rsid w:val="005D4F44"/>
    <w:rsid w:val="005D63A0"/>
    <w:rsid w:val="005E74D1"/>
    <w:rsid w:val="005F18E6"/>
    <w:rsid w:val="005F1A20"/>
    <w:rsid w:val="00600C7D"/>
    <w:rsid w:val="006012B5"/>
    <w:rsid w:val="00601A62"/>
    <w:rsid w:val="006057CC"/>
    <w:rsid w:val="006059FE"/>
    <w:rsid w:val="00612401"/>
    <w:rsid w:val="0063451B"/>
    <w:rsid w:val="00634F68"/>
    <w:rsid w:val="00634FED"/>
    <w:rsid w:val="00642DDA"/>
    <w:rsid w:val="0064383D"/>
    <w:rsid w:val="006467AC"/>
    <w:rsid w:val="0066100E"/>
    <w:rsid w:val="006740EB"/>
    <w:rsid w:val="00682036"/>
    <w:rsid w:val="00690808"/>
    <w:rsid w:val="00692000"/>
    <w:rsid w:val="00692344"/>
    <w:rsid w:val="006A1735"/>
    <w:rsid w:val="006B2363"/>
    <w:rsid w:val="006B7187"/>
    <w:rsid w:val="006C378B"/>
    <w:rsid w:val="006C528E"/>
    <w:rsid w:val="006C6CF2"/>
    <w:rsid w:val="006D0440"/>
    <w:rsid w:val="006D641B"/>
    <w:rsid w:val="006D7D8B"/>
    <w:rsid w:val="006E6FB4"/>
    <w:rsid w:val="006E7BC2"/>
    <w:rsid w:val="006F0ED2"/>
    <w:rsid w:val="006F1010"/>
    <w:rsid w:val="006F17A1"/>
    <w:rsid w:val="006F25E1"/>
    <w:rsid w:val="00705DF2"/>
    <w:rsid w:val="007170C2"/>
    <w:rsid w:val="00717760"/>
    <w:rsid w:val="00721564"/>
    <w:rsid w:val="00727759"/>
    <w:rsid w:val="007324BD"/>
    <w:rsid w:val="00734090"/>
    <w:rsid w:val="00736FEA"/>
    <w:rsid w:val="00740306"/>
    <w:rsid w:val="00741A04"/>
    <w:rsid w:val="007421C4"/>
    <w:rsid w:val="00753300"/>
    <w:rsid w:val="0075589D"/>
    <w:rsid w:val="007610BD"/>
    <w:rsid w:val="0076475F"/>
    <w:rsid w:val="0076511E"/>
    <w:rsid w:val="00770ADD"/>
    <w:rsid w:val="007A2F9D"/>
    <w:rsid w:val="007A44C7"/>
    <w:rsid w:val="007B127D"/>
    <w:rsid w:val="007B2040"/>
    <w:rsid w:val="007B2390"/>
    <w:rsid w:val="007B3174"/>
    <w:rsid w:val="007D0447"/>
    <w:rsid w:val="007D0716"/>
    <w:rsid w:val="007D4DB0"/>
    <w:rsid w:val="007D63B2"/>
    <w:rsid w:val="007E0D89"/>
    <w:rsid w:val="007E5C96"/>
    <w:rsid w:val="007E718D"/>
    <w:rsid w:val="007F019D"/>
    <w:rsid w:val="007F56AF"/>
    <w:rsid w:val="007F5A62"/>
    <w:rsid w:val="00801A31"/>
    <w:rsid w:val="0081059D"/>
    <w:rsid w:val="008131CE"/>
    <w:rsid w:val="0081369C"/>
    <w:rsid w:val="0081600A"/>
    <w:rsid w:val="008215C8"/>
    <w:rsid w:val="00821E83"/>
    <w:rsid w:val="00822E06"/>
    <w:rsid w:val="0082671E"/>
    <w:rsid w:val="008334DD"/>
    <w:rsid w:val="0083390C"/>
    <w:rsid w:val="008444E4"/>
    <w:rsid w:val="00845275"/>
    <w:rsid w:val="0084791B"/>
    <w:rsid w:val="008512B0"/>
    <w:rsid w:val="008539CF"/>
    <w:rsid w:val="008616DC"/>
    <w:rsid w:val="00864A9B"/>
    <w:rsid w:val="00864BAA"/>
    <w:rsid w:val="00865191"/>
    <w:rsid w:val="00872D39"/>
    <w:rsid w:val="00874237"/>
    <w:rsid w:val="00876FCE"/>
    <w:rsid w:val="00881199"/>
    <w:rsid w:val="00881EA3"/>
    <w:rsid w:val="00882034"/>
    <w:rsid w:val="00883EB8"/>
    <w:rsid w:val="00885BBC"/>
    <w:rsid w:val="00885EDC"/>
    <w:rsid w:val="00893479"/>
    <w:rsid w:val="0089464C"/>
    <w:rsid w:val="008A3F30"/>
    <w:rsid w:val="008A5F19"/>
    <w:rsid w:val="008B2BEF"/>
    <w:rsid w:val="008C77E1"/>
    <w:rsid w:val="008D205A"/>
    <w:rsid w:val="008E12AC"/>
    <w:rsid w:val="008E1707"/>
    <w:rsid w:val="008F3459"/>
    <w:rsid w:val="008F64FF"/>
    <w:rsid w:val="009057A7"/>
    <w:rsid w:val="009058B5"/>
    <w:rsid w:val="00907741"/>
    <w:rsid w:val="0092158A"/>
    <w:rsid w:val="00933DCC"/>
    <w:rsid w:val="00935A56"/>
    <w:rsid w:val="009519D0"/>
    <w:rsid w:val="009520DA"/>
    <w:rsid w:val="009529F6"/>
    <w:rsid w:val="00952BAC"/>
    <w:rsid w:val="009532DB"/>
    <w:rsid w:val="0096222D"/>
    <w:rsid w:val="009725BB"/>
    <w:rsid w:val="009759FC"/>
    <w:rsid w:val="009816CB"/>
    <w:rsid w:val="009818A5"/>
    <w:rsid w:val="00983BDA"/>
    <w:rsid w:val="00984E71"/>
    <w:rsid w:val="00986EC4"/>
    <w:rsid w:val="00987796"/>
    <w:rsid w:val="009B07A3"/>
    <w:rsid w:val="009B4D23"/>
    <w:rsid w:val="009C3704"/>
    <w:rsid w:val="009D5FAF"/>
    <w:rsid w:val="009D77E5"/>
    <w:rsid w:val="009E5F2E"/>
    <w:rsid w:val="009F6AF7"/>
    <w:rsid w:val="00A06D5D"/>
    <w:rsid w:val="00A07EFC"/>
    <w:rsid w:val="00A131D1"/>
    <w:rsid w:val="00A135CA"/>
    <w:rsid w:val="00A1385D"/>
    <w:rsid w:val="00A14E76"/>
    <w:rsid w:val="00A175FE"/>
    <w:rsid w:val="00A178C8"/>
    <w:rsid w:val="00A17E23"/>
    <w:rsid w:val="00A275C7"/>
    <w:rsid w:val="00A313B2"/>
    <w:rsid w:val="00A32D23"/>
    <w:rsid w:val="00A3408E"/>
    <w:rsid w:val="00A43F55"/>
    <w:rsid w:val="00A54B3A"/>
    <w:rsid w:val="00A55B32"/>
    <w:rsid w:val="00A55DF8"/>
    <w:rsid w:val="00A64924"/>
    <w:rsid w:val="00A725D9"/>
    <w:rsid w:val="00A72FFD"/>
    <w:rsid w:val="00A731F0"/>
    <w:rsid w:val="00A73463"/>
    <w:rsid w:val="00A809B4"/>
    <w:rsid w:val="00A83A8B"/>
    <w:rsid w:val="00A83EC2"/>
    <w:rsid w:val="00A9065F"/>
    <w:rsid w:val="00A90A5B"/>
    <w:rsid w:val="00A912A4"/>
    <w:rsid w:val="00AA2D36"/>
    <w:rsid w:val="00AA420E"/>
    <w:rsid w:val="00AB1B03"/>
    <w:rsid w:val="00AB1B83"/>
    <w:rsid w:val="00AC0BE0"/>
    <w:rsid w:val="00AC203E"/>
    <w:rsid w:val="00AC2080"/>
    <w:rsid w:val="00AC71E6"/>
    <w:rsid w:val="00AD104B"/>
    <w:rsid w:val="00AD21F6"/>
    <w:rsid w:val="00AD3236"/>
    <w:rsid w:val="00AE4D33"/>
    <w:rsid w:val="00AE7F41"/>
    <w:rsid w:val="00AF049A"/>
    <w:rsid w:val="00AF07EC"/>
    <w:rsid w:val="00B01F32"/>
    <w:rsid w:val="00B037A1"/>
    <w:rsid w:val="00B03AF6"/>
    <w:rsid w:val="00B07ACF"/>
    <w:rsid w:val="00B105DD"/>
    <w:rsid w:val="00B10F37"/>
    <w:rsid w:val="00B146B4"/>
    <w:rsid w:val="00B20241"/>
    <w:rsid w:val="00B246E3"/>
    <w:rsid w:val="00B24988"/>
    <w:rsid w:val="00B24C16"/>
    <w:rsid w:val="00B25981"/>
    <w:rsid w:val="00B259D9"/>
    <w:rsid w:val="00B26301"/>
    <w:rsid w:val="00B265A2"/>
    <w:rsid w:val="00B268FE"/>
    <w:rsid w:val="00B26DB5"/>
    <w:rsid w:val="00B27C10"/>
    <w:rsid w:val="00B34474"/>
    <w:rsid w:val="00B51C98"/>
    <w:rsid w:val="00B529B0"/>
    <w:rsid w:val="00B5492F"/>
    <w:rsid w:val="00B6106A"/>
    <w:rsid w:val="00B64FF9"/>
    <w:rsid w:val="00B67F2B"/>
    <w:rsid w:val="00B7078B"/>
    <w:rsid w:val="00B70E7F"/>
    <w:rsid w:val="00B75B03"/>
    <w:rsid w:val="00B7682A"/>
    <w:rsid w:val="00B80DEC"/>
    <w:rsid w:val="00B921EF"/>
    <w:rsid w:val="00B9273B"/>
    <w:rsid w:val="00BA129D"/>
    <w:rsid w:val="00BA578A"/>
    <w:rsid w:val="00BB4492"/>
    <w:rsid w:val="00BC26B5"/>
    <w:rsid w:val="00BC3BE4"/>
    <w:rsid w:val="00BD6BE1"/>
    <w:rsid w:val="00BE21B1"/>
    <w:rsid w:val="00BF024D"/>
    <w:rsid w:val="00BF7A07"/>
    <w:rsid w:val="00C13FE8"/>
    <w:rsid w:val="00C14F3F"/>
    <w:rsid w:val="00C23223"/>
    <w:rsid w:val="00C25A83"/>
    <w:rsid w:val="00C264C2"/>
    <w:rsid w:val="00C312A4"/>
    <w:rsid w:val="00C33BDB"/>
    <w:rsid w:val="00C33C71"/>
    <w:rsid w:val="00C4159E"/>
    <w:rsid w:val="00C55087"/>
    <w:rsid w:val="00C746B5"/>
    <w:rsid w:val="00C76A92"/>
    <w:rsid w:val="00C842E2"/>
    <w:rsid w:val="00C87A98"/>
    <w:rsid w:val="00C9515A"/>
    <w:rsid w:val="00CA4A9A"/>
    <w:rsid w:val="00CA7335"/>
    <w:rsid w:val="00CA78DF"/>
    <w:rsid w:val="00CB087F"/>
    <w:rsid w:val="00CB2EAA"/>
    <w:rsid w:val="00CC1614"/>
    <w:rsid w:val="00CC27BD"/>
    <w:rsid w:val="00CC543A"/>
    <w:rsid w:val="00CC6209"/>
    <w:rsid w:val="00CC6237"/>
    <w:rsid w:val="00CC6651"/>
    <w:rsid w:val="00CD162A"/>
    <w:rsid w:val="00CD44EB"/>
    <w:rsid w:val="00CE35FF"/>
    <w:rsid w:val="00CE3B56"/>
    <w:rsid w:val="00CE60CA"/>
    <w:rsid w:val="00CE66FD"/>
    <w:rsid w:val="00CF4AB3"/>
    <w:rsid w:val="00CF4BB7"/>
    <w:rsid w:val="00D00EB5"/>
    <w:rsid w:val="00D01584"/>
    <w:rsid w:val="00D0180C"/>
    <w:rsid w:val="00D066FB"/>
    <w:rsid w:val="00D0707D"/>
    <w:rsid w:val="00D21559"/>
    <w:rsid w:val="00D2492D"/>
    <w:rsid w:val="00D32DCB"/>
    <w:rsid w:val="00D37878"/>
    <w:rsid w:val="00D44233"/>
    <w:rsid w:val="00D46A1D"/>
    <w:rsid w:val="00D46DD7"/>
    <w:rsid w:val="00D47A48"/>
    <w:rsid w:val="00D62410"/>
    <w:rsid w:val="00D7163A"/>
    <w:rsid w:val="00D72CAC"/>
    <w:rsid w:val="00D746ED"/>
    <w:rsid w:val="00D83D2E"/>
    <w:rsid w:val="00D90260"/>
    <w:rsid w:val="00D919F6"/>
    <w:rsid w:val="00D91D62"/>
    <w:rsid w:val="00DA6084"/>
    <w:rsid w:val="00DA6F58"/>
    <w:rsid w:val="00DB1BE7"/>
    <w:rsid w:val="00DB3B7A"/>
    <w:rsid w:val="00DC0551"/>
    <w:rsid w:val="00DC211A"/>
    <w:rsid w:val="00DC56AD"/>
    <w:rsid w:val="00DC7F06"/>
    <w:rsid w:val="00DD434E"/>
    <w:rsid w:val="00DD57F6"/>
    <w:rsid w:val="00DD5B4F"/>
    <w:rsid w:val="00DD7506"/>
    <w:rsid w:val="00DE59AD"/>
    <w:rsid w:val="00DF0478"/>
    <w:rsid w:val="00DF0A63"/>
    <w:rsid w:val="00DF1217"/>
    <w:rsid w:val="00E004BC"/>
    <w:rsid w:val="00E059DE"/>
    <w:rsid w:val="00E13E92"/>
    <w:rsid w:val="00E26046"/>
    <w:rsid w:val="00E26765"/>
    <w:rsid w:val="00E276B6"/>
    <w:rsid w:val="00E30AFC"/>
    <w:rsid w:val="00E5178A"/>
    <w:rsid w:val="00E51E37"/>
    <w:rsid w:val="00E53464"/>
    <w:rsid w:val="00E56176"/>
    <w:rsid w:val="00E6479A"/>
    <w:rsid w:val="00E65F4C"/>
    <w:rsid w:val="00E723FF"/>
    <w:rsid w:val="00E803F0"/>
    <w:rsid w:val="00E83DCB"/>
    <w:rsid w:val="00E92D39"/>
    <w:rsid w:val="00E93CF3"/>
    <w:rsid w:val="00EA2C3A"/>
    <w:rsid w:val="00EA3FD7"/>
    <w:rsid w:val="00EB571C"/>
    <w:rsid w:val="00EB5744"/>
    <w:rsid w:val="00EC1974"/>
    <w:rsid w:val="00ED0EDB"/>
    <w:rsid w:val="00ED5614"/>
    <w:rsid w:val="00EF727B"/>
    <w:rsid w:val="00F073B7"/>
    <w:rsid w:val="00F07E41"/>
    <w:rsid w:val="00F17F2B"/>
    <w:rsid w:val="00F27C22"/>
    <w:rsid w:val="00F300FB"/>
    <w:rsid w:val="00F3321D"/>
    <w:rsid w:val="00F36AAC"/>
    <w:rsid w:val="00F5290A"/>
    <w:rsid w:val="00F55F57"/>
    <w:rsid w:val="00F57552"/>
    <w:rsid w:val="00F618A1"/>
    <w:rsid w:val="00F65CF7"/>
    <w:rsid w:val="00F754D2"/>
    <w:rsid w:val="00F76720"/>
    <w:rsid w:val="00F9736A"/>
    <w:rsid w:val="00FA136B"/>
    <w:rsid w:val="00FA1C3C"/>
    <w:rsid w:val="00FA3B3F"/>
    <w:rsid w:val="00FA4CB5"/>
    <w:rsid w:val="00FA5987"/>
    <w:rsid w:val="00FB59C2"/>
    <w:rsid w:val="00FB654F"/>
    <w:rsid w:val="00FC12B5"/>
    <w:rsid w:val="00FC1891"/>
    <w:rsid w:val="00FD0476"/>
    <w:rsid w:val="00FD59DC"/>
    <w:rsid w:val="00FE0B19"/>
    <w:rsid w:val="00FF00EF"/>
    <w:rsid w:val="00FF5BD6"/>
    <w:rsid w:val="068C5A4E"/>
    <w:rsid w:val="09447AA3"/>
    <w:rsid w:val="1B5958F5"/>
    <w:rsid w:val="2EF36AAD"/>
    <w:rsid w:val="30640038"/>
    <w:rsid w:val="3E1B5F65"/>
    <w:rsid w:val="3F3A30D7"/>
    <w:rsid w:val="413E6042"/>
    <w:rsid w:val="4F226F00"/>
    <w:rsid w:val="52052B6F"/>
    <w:rsid w:val="54947094"/>
    <w:rsid w:val="584E08C9"/>
    <w:rsid w:val="60C87C79"/>
    <w:rsid w:val="62E864D0"/>
    <w:rsid w:val="646107A2"/>
    <w:rsid w:val="64CB4AA9"/>
    <w:rsid w:val="6A721D2D"/>
    <w:rsid w:val="6AF72A1E"/>
    <w:rsid w:val="74C01ED3"/>
    <w:rsid w:val="75C41CE7"/>
    <w:rsid w:val="7D64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endnote text"/>
    <w:basedOn w:val="1"/>
    <w:link w:val="16"/>
    <w:semiHidden/>
    <w:unhideWhenUsed/>
    <w:qFormat/>
    <w:uiPriority w:val="99"/>
    <w:pPr>
      <w:snapToGrid w:val="0"/>
      <w:jc w:val="left"/>
    </w:p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semiHidden/>
    <w:unhideWhenUsed/>
    <w:qFormat/>
    <w:uiPriority w:val="99"/>
    <w:pPr>
      <w:snapToGrid w:val="0"/>
      <w:jc w:val="left"/>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ndnote reference"/>
    <w:basedOn w:val="9"/>
    <w:semiHidden/>
    <w:unhideWhenUsed/>
    <w:qFormat/>
    <w:uiPriority w:val="99"/>
    <w:rPr>
      <w:vertAlign w:val="superscript"/>
    </w:rPr>
  </w:style>
  <w:style w:type="character" w:styleId="11">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styleId="13">
    <w:name w:val="footnote reference"/>
    <w:basedOn w:val="9"/>
    <w:semiHidden/>
    <w:unhideWhenUsed/>
    <w:qFormat/>
    <w:uiPriority w:val="99"/>
    <w:rPr>
      <w:vertAlign w:val="superscript"/>
    </w:rPr>
  </w:style>
  <w:style w:type="paragraph" w:styleId="14">
    <w:name w:val="List Paragraph"/>
    <w:basedOn w:val="1"/>
    <w:qFormat/>
    <w:uiPriority w:val="34"/>
    <w:pPr>
      <w:ind w:firstLine="420" w:firstLineChars="200"/>
    </w:pPr>
  </w:style>
  <w:style w:type="character" w:customStyle="1" w:styleId="15">
    <w:name w:val="Unresolved Mention"/>
    <w:basedOn w:val="9"/>
    <w:semiHidden/>
    <w:unhideWhenUsed/>
    <w:qFormat/>
    <w:uiPriority w:val="99"/>
    <w:rPr>
      <w:color w:val="605E5C"/>
      <w:shd w:val="clear" w:color="auto" w:fill="E1DFDD"/>
    </w:rPr>
  </w:style>
  <w:style w:type="character" w:customStyle="1" w:styleId="16">
    <w:name w:val="尾注文本 字符"/>
    <w:basedOn w:val="9"/>
    <w:link w:val="3"/>
    <w:semiHidden/>
    <w:qFormat/>
    <w:uiPriority w:val="99"/>
  </w:style>
  <w:style w:type="character" w:customStyle="1" w:styleId="17">
    <w:name w:val="页眉 字符"/>
    <w:basedOn w:val="9"/>
    <w:link w:val="5"/>
    <w:qFormat/>
    <w:uiPriority w:val="99"/>
    <w:rPr>
      <w:sz w:val="18"/>
      <w:szCs w:val="18"/>
    </w:rPr>
  </w:style>
  <w:style w:type="character" w:customStyle="1" w:styleId="18">
    <w:name w:val="页脚 字符"/>
    <w:basedOn w:val="9"/>
    <w:link w:val="4"/>
    <w:qFormat/>
    <w:uiPriority w:val="99"/>
    <w:rPr>
      <w:sz w:val="18"/>
      <w:szCs w:val="18"/>
    </w:rPr>
  </w:style>
  <w:style w:type="character" w:customStyle="1" w:styleId="19">
    <w:name w:val="脚注文本 字符"/>
    <w:basedOn w:val="9"/>
    <w:link w:val="6"/>
    <w:semiHidden/>
    <w:qFormat/>
    <w:uiPriority w:val="99"/>
    <w:rPr>
      <w:sz w:val="18"/>
      <w:szCs w:val="18"/>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9D8E2-3CE1-464F-BC16-09AB0C0E0DE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2256</Words>
  <Characters>2516</Characters>
  <Lines>80</Lines>
  <Paragraphs>22</Paragraphs>
  <TotalTime>66</TotalTime>
  <ScaleCrop>false</ScaleCrop>
  <LinksUpToDate>false</LinksUpToDate>
  <CharactersWithSpaces>2556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2020-08-04T12:11:00Z</dcterms:created>
  <dc:creator>fu tengfei</dc:creator>
  <cp:lastModifiedBy>windy</cp:lastModifiedBy>
  <cp:lastPrinted>2025-05-15T07:53:00Z</cp:lastPrinted>
  <dcterms:modified xsi:type="dcterms:W3CDTF">2025-11-11T08:15:29Z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eyJoZGlkIjoiOTYyMWU1ZDU4MjhhODg2OTIyMmE5NjY0NWE4ZWQ2NjkiLCJ1c2VySWQiOiIzNDgwMTMwODEifQ==</vt:lpwstr>
  </property>
  <property fmtid="{D5CDD505-2E9C-101B-9397-08002B2CF9AE}" pid="3" name="KSOProductBuildVer">
    <vt:lpwstr>2052-12.1.0.23542</vt:lpwstr>
  </property>
  <property fmtid="{D5CDD505-2E9C-101B-9397-08002B2CF9AE}" pid="4" name="ICV">
    <vt:lpwstr>2D96F5117093444D975A2E332BF78EFD_13</vt:lpwstr>
  </property>
  <property fmtid="{D5CDD505-2E9C-101B-9397-08002B2CF9AE}" pid="5" name="hmcheck_markmode">
    <vt:i4>0</vt:i4>
  </property>
  <property fmtid="{D5CDD505-2E9C-101B-9397-08002B2CF9AE}" pid="6" name="hmcheck_taskpanetype">
    <vt:i4>1</vt:i4>
  </property>
</Properties>
</file>