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259"/>
        <w:tblOverlap w:val="never"/>
        <w:tblW w:w="0" w:type="auto"/>
        <w:jc w:val="center"/>
        <w:tblLayout w:type="fixed"/>
        <w:tblCellMar>
          <w:top w:w="0" w:type="dxa"/>
          <w:left w:w="108" w:type="dxa"/>
          <w:bottom w:w="0" w:type="dxa"/>
          <w:right w:w="108" w:type="dxa"/>
        </w:tblCellMar>
      </w:tblPr>
      <w:tblGrid>
        <w:gridCol w:w="4108"/>
        <w:gridCol w:w="1085"/>
        <w:gridCol w:w="724"/>
        <w:gridCol w:w="515"/>
        <w:gridCol w:w="1540"/>
        <w:gridCol w:w="288"/>
      </w:tblGrid>
      <w:tr w14:paraId="54EE5997">
        <w:tblPrEx>
          <w:tblCellMar>
            <w:top w:w="0" w:type="dxa"/>
            <w:left w:w="108" w:type="dxa"/>
            <w:bottom w:w="0" w:type="dxa"/>
            <w:right w:w="108" w:type="dxa"/>
          </w:tblCellMar>
        </w:tblPrEx>
        <w:trPr>
          <w:trHeight w:val="555" w:hRule="atLeast"/>
          <w:jc w:val="center"/>
        </w:trPr>
        <w:tc>
          <w:tcPr>
            <w:tcW w:w="8260" w:type="dxa"/>
            <w:gridSpan w:val="6"/>
            <w:tcBorders>
              <w:top w:val="nil"/>
              <w:left w:val="nil"/>
              <w:bottom w:val="nil"/>
              <w:right w:val="nil"/>
            </w:tcBorders>
            <w:noWrap/>
            <w:vAlign w:val="center"/>
          </w:tcPr>
          <w:p w14:paraId="77F2C490">
            <w:pPr>
              <w:keepNext w:val="0"/>
              <w:keepLines w:val="0"/>
              <w:suppressLineNumbers w:val="0"/>
              <w:spacing w:before="0" w:beforeAutospacing="0" w:after="0" w:afterAutospacing="0"/>
              <w:ind w:left="0" w:right="0" w:firstLine="482" w:firstLineChars="200"/>
              <w:jc w:val="center"/>
              <w:rPr>
                <w:rFonts w:hint="default" w:ascii="Times New Roman" w:hAnsi="Times New Roman" w:eastAsia="仿宋" w:cs="Times New Roman"/>
                <w:b/>
                <w:bCs/>
                <w:sz w:val="24"/>
                <w:u w:val="none"/>
                <w:shd w:val="clear" w:color="auto" w:fill="auto"/>
                <w:lang w:val="en-US" w:eastAsia="zh-CN"/>
              </w:rPr>
            </w:pPr>
            <w:bookmarkStart w:id="0" w:name="_GoBack"/>
            <w:r>
              <w:rPr>
                <w:rFonts w:hint="eastAsia" w:ascii="Times New Roman" w:hAnsi="Times New Roman" w:eastAsia="仿宋" w:cs="Times New Roman"/>
                <w:b/>
                <w:bCs/>
                <w:sz w:val="24"/>
                <w:u w:val="none"/>
                <w:shd w:val="clear" w:color="auto" w:fill="auto"/>
                <w:lang w:val="en-US" w:eastAsia="zh-CN"/>
              </w:rPr>
              <w:t xml:space="preserve">     </w:t>
            </w:r>
            <w:r>
              <w:rPr>
                <w:rFonts w:hint="default" w:ascii="Times New Roman" w:hAnsi="Times New Roman" w:eastAsia="仿宋" w:cs="Times New Roman"/>
                <w:b/>
                <w:bCs/>
                <w:sz w:val="24"/>
                <w:u w:val="none"/>
                <w:shd w:val="clear" w:color="auto" w:fill="auto"/>
              </w:rPr>
              <w:t>表</w:t>
            </w:r>
            <w:r>
              <w:rPr>
                <w:rFonts w:hint="eastAsia" w:ascii="Times New Roman" w:hAnsi="Times New Roman" w:eastAsia="仿宋" w:cs="Times New Roman"/>
                <w:b/>
                <w:bCs/>
                <w:sz w:val="24"/>
                <w:u w:val="none"/>
                <w:shd w:val="clear" w:color="auto" w:fill="auto"/>
                <w:lang w:val="en-US" w:eastAsia="zh-CN"/>
              </w:rPr>
              <w:t>1</w:t>
            </w:r>
            <w:r>
              <w:rPr>
                <w:rFonts w:hint="default" w:ascii="Times New Roman" w:hAnsi="Times New Roman" w:eastAsia="仿宋" w:cs="Times New Roman"/>
                <w:b/>
                <w:bCs/>
                <w:sz w:val="24"/>
                <w:u w:val="none"/>
                <w:shd w:val="clear" w:color="auto" w:fill="auto"/>
              </w:rPr>
              <w:t xml:space="preserve"> </w:t>
            </w:r>
            <w:r>
              <w:rPr>
                <w:rFonts w:hint="eastAsia" w:ascii="Times New Roman" w:hAnsi="Times New Roman" w:eastAsia="仿宋" w:cs="Times New Roman"/>
                <w:b/>
                <w:bCs/>
                <w:sz w:val="24"/>
                <w:u w:val="none"/>
                <w:shd w:val="clear" w:color="auto" w:fill="auto"/>
                <w:lang w:val="en-US" w:eastAsia="zh-CN"/>
              </w:rPr>
              <w:t xml:space="preserve"> </w:t>
            </w:r>
            <w:r>
              <w:rPr>
                <w:rFonts w:hint="default" w:ascii="Times New Roman" w:hAnsi="Times New Roman" w:eastAsia="仿宋" w:cs="Times New Roman"/>
                <w:b/>
                <w:bCs/>
                <w:sz w:val="24"/>
                <w:u w:val="none"/>
                <w:shd w:val="clear" w:color="auto" w:fill="auto"/>
              </w:rPr>
              <w:t>一般情况</w:t>
            </w:r>
            <w:r>
              <w:rPr>
                <w:rFonts w:hint="eastAsia" w:ascii="Times New Roman" w:hAnsi="Times New Roman" w:eastAsia="仿宋" w:cs="Times New Roman"/>
                <w:b/>
                <w:bCs/>
                <w:sz w:val="24"/>
                <w:u w:val="none"/>
                <w:shd w:val="clear" w:color="auto" w:fill="auto"/>
                <w:lang w:val="en-US" w:eastAsia="zh-CN"/>
              </w:rPr>
              <w:t xml:space="preserve">           （</w:t>
            </w:r>
            <w:r>
              <w:rPr>
                <w:rFonts w:hint="eastAsia" w:ascii="Times New Roman" w:hAnsi="Times New Roman" w:eastAsia="仿宋" w:cs="Times New Roman"/>
                <w:b/>
                <w:bCs/>
                <w:i/>
                <w:iCs/>
                <w:sz w:val="24"/>
                <w:u w:val="none"/>
                <w:shd w:val="clear" w:color="auto" w:fill="auto"/>
                <w:lang w:val="en-US" w:eastAsia="zh-CN"/>
              </w:rPr>
              <w:t>n</w:t>
            </w:r>
            <w:r>
              <w:rPr>
                <w:rFonts w:hint="eastAsia" w:ascii="Times New Roman" w:hAnsi="Times New Roman" w:eastAsia="仿宋" w:cs="Times New Roman"/>
                <w:b/>
                <w:bCs/>
                <w:sz w:val="24"/>
                <w:u w:val="none"/>
                <w:shd w:val="clear" w:color="auto" w:fill="auto"/>
                <w:lang w:val="en-US" w:eastAsia="zh-CN"/>
              </w:rPr>
              <w:t>=92）</w:t>
            </w:r>
          </w:p>
        </w:tc>
      </w:tr>
      <w:tr w14:paraId="628AD580">
        <w:tblPrEx>
          <w:tblCellMar>
            <w:top w:w="0" w:type="dxa"/>
            <w:left w:w="108" w:type="dxa"/>
            <w:bottom w:w="0" w:type="dxa"/>
            <w:right w:w="108" w:type="dxa"/>
          </w:tblCellMar>
        </w:tblPrEx>
        <w:trPr>
          <w:gridAfter w:val="1"/>
          <w:wAfter w:w="288" w:type="dxa"/>
          <w:trHeight w:val="467" w:hRule="atLeast"/>
          <w:jc w:val="center"/>
        </w:trPr>
        <w:tc>
          <w:tcPr>
            <w:tcW w:w="4108" w:type="dxa"/>
            <w:tcBorders>
              <w:top w:val="single" w:color="000000" w:sz="8" w:space="0"/>
              <w:left w:val="nil"/>
              <w:bottom w:val="nil"/>
              <w:right w:val="nil"/>
            </w:tcBorders>
            <w:noWrap/>
            <w:vAlign w:val="center"/>
          </w:tcPr>
          <w:p w14:paraId="09E1AD4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特征</w:t>
            </w:r>
          </w:p>
        </w:tc>
        <w:tc>
          <w:tcPr>
            <w:tcW w:w="1809" w:type="dxa"/>
            <w:gridSpan w:val="2"/>
            <w:tcBorders>
              <w:top w:val="single" w:color="000000" w:sz="8" w:space="0"/>
              <w:left w:val="nil"/>
              <w:bottom w:val="single" w:color="000000" w:sz="4" w:space="0"/>
              <w:right w:val="nil"/>
            </w:tcBorders>
            <w:noWrap/>
            <w:vAlign w:val="center"/>
          </w:tcPr>
          <w:p w14:paraId="55A35FD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i/>
                <w:iCs/>
                <w:sz w:val="24"/>
                <w:u w:val="none"/>
                <w:shd w:val="clear" w:color="auto" w:fill="auto"/>
              </w:rPr>
              <w:t>n</w:t>
            </w:r>
          </w:p>
        </w:tc>
        <w:tc>
          <w:tcPr>
            <w:tcW w:w="2055" w:type="dxa"/>
            <w:gridSpan w:val="2"/>
            <w:tcBorders>
              <w:top w:val="single" w:color="000000" w:sz="8" w:space="0"/>
              <w:left w:val="nil"/>
              <w:bottom w:val="single" w:color="000000" w:sz="4" w:space="0"/>
              <w:right w:val="nil"/>
            </w:tcBorders>
            <w:noWrap/>
            <w:vAlign w:val="center"/>
          </w:tcPr>
          <w:p w14:paraId="684E358B">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w:t>
            </w:r>
          </w:p>
        </w:tc>
      </w:tr>
      <w:tr w14:paraId="507E3650">
        <w:tblPrEx>
          <w:tblCellMar>
            <w:top w:w="0" w:type="dxa"/>
            <w:left w:w="108" w:type="dxa"/>
            <w:bottom w:w="0" w:type="dxa"/>
            <w:right w:w="108" w:type="dxa"/>
          </w:tblCellMar>
        </w:tblPrEx>
        <w:trPr>
          <w:gridAfter w:val="1"/>
          <w:wAfter w:w="288" w:type="dxa"/>
          <w:trHeight w:val="453" w:hRule="atLeast"/>
          <w:jc w:val="center"/>
        </w:trPr>
        <w:tc>
          <w:tcPr>
            <w:tcW w:w="4108" w:type="dxa"/>
            <w:tcBorders>
              <w:top w:val="single" w:color="000000" w:sz="4" w:space="0"/>
              <w:left w:val="nil"/>
              <w:bottom w:val="nil"/>
              <w:right w:val="nil"/>
            </w:tcBorders>
            <w:noWrap/>
            <w:vAlign w:val="center"/>
          </w:tcPr>
          <w:p w14:paraId="24907D48">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年龄</w:t>
            </w:r>
          </w:p>
        </w:tc>
        <w:tc>
          <w:tcPr>
            <w:tcW w:w="1809" w:type="dxa"/>
            <w:gridSpan w:val="2"/>
            <w:tcBorders>
              <w:top w:val="nil"/>
              <w:left w:val="nil"/>
              <w:bottom w:val="nil"/>
              <w:right w:val="nil"/>
            </w:tcBorders>
            <w:noWrap/>
            <w:vAlign w:val="center"/>
          </w:tcPr>
          <w:p w14:paraId="704FC0A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4FBB5D4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664FFDE1">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0EE2F209">
            <w:pPr>
              <w:keepNext w:val="0"/>
              <w:keepLines w:val="0"/>
              <w:suppressLineNumbers w:val="0"/>
              <w:spacing w:before="0" w:beforeAutospacing="0" w:after="0" w:afterAutospacing="0"/>
              <w:ind w:left="0" w:right="0" w:firstLine="480" w:firstLineChars="200"/>
              <w:jc w:val="center"/>
              <w:rPr>
                <w:rFonts w:hint="eastAsia"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≤25</w:t>
            </w:r>
            <w:r>
              <w:rPr>
                <w:rFonts w:hint="eastAsia" w:ascii="Times New Roman" w:hAnsi="Times New Roman" w:eastAsia="仿宋" w:cs="Times New Roman"/>
                <w:b w:val="0"/>
                <w:bCs w:val="0"/>
                <w:sz w:val="24"/>
                <w:u w:val="none" w:color="auto"/>
                <w:shd w:val="clear" w:color="auto" w:fill="auto"/>
                <w:lang w:val="en-US" w:eastAsia="zh-CN"/>
              </w:rPr>
              <w:t>岁</w:t>
            </w:r>
          </w:p>
        </w:tc>
        <w:tc>
          <w:tcPr>
            <w:tcW w:w="1809" w:type="dxa"/>
            <w:gridSpan w:val="2"/>
            <w:tcBorders>
              <w:top w:val="nil"/>
              <w:left w:val="nil"/>
              <w:bottom w:val="nil"/>
              <w:right w:val="nil"/>
            </w:tcBorders>
            <w:noWrap/>
            <w:vAlign w:val="center"/>
          </w:tcPr>
          <w:p w14:paraId="6BDAC07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12</w:t>
            </w:r>
          </w:p>
        </w:tc>
        <w:tc>
          <w:tcPr>
            <w:tcW w:w="2055" w:type="dxa"/>
            <w:gridSpan w:val="2"/>
            <w:tcBorders>
              <w:top w:val="nil"/>
              <w:left w:val="nil"/>
              <w:bottom w:val="nil"/>
              <w:right w:val="nil"/>
            </w:tcBorders>
            <w:noWrap/>
            <w:vAlign w:val="center"/>
          </w:tcPr>
          <w:p w14:paraId="68FA627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13.04</w:t>
            </w:r>
          </w:p>
        </w:tc>
      </w:tr>
      <w:tr w14:paraId="6826412B">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1EF0EC9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color="auto"/>
                <w:shd w:val="clear" w:color="auto" w:fill="auto"/>
                <w:lang w:val="en-US" w:eastAsia="zh-CN"/>
              </w:rPr>
              <w:t>26</w:t>
            </w:r>
            <w:r>
              <w:rPr>
                <w:rFonts w:hint="default" w:ascii="Times New Roman" w:hAnsi="Times New Roman" w:eastAsia="仿宋" w:cs="Times New Roman"/>
                <w:b w:val="0"/>
                <w:bCs w:val="0"/>
                <w:sz w:val="24"/>
                <w:u w:val="none"/>
                <w:shd w:val="clear" w:color="auto" w:fill="auto"/>
              </w:rPr>
              <w:t>~45</w:t>
            </w:r>
            <w:r>
              <w:rPr>
                <w:rFonts w:hint="eastAsia" w:ascii="Times New Roman" w:hAnsi="Times New Roman" w:eastAsia="仿宋" w:cs="Times New Roman"/>
                <w:b w:val="0"/>
                <w:bCs w:val="0"/>
                <w:sz w:val="24"/>
                <w:u w:val="none" w:color="auto"/>
                <w:shd w:val="clear" w:color="auto" w:fill="auto"/>
                <w:lang w:val="en-US" w:eastAsia="zh-CN"/>
              </w:rPr>
              <w:t>岁</w:t>
            </w:r>
          </w:p>
        </w:tc>
        <w:tc>
          <w:tcPr>
            <w:tcW w:w="1809" w:type="dxa"/>
            <w:gridSpan w:val="2"/>
            <w:tcBorders>
              <w:top w:val="nil"/>
              <w:left w:val="nil"/>
              <w:bottom w:val="nil"/>
              <w:right w:val="nil"/>
            </w:tcBorders>
            <w:noWrap/>
            <w:vAlign w:val="center"/>
          </w:tcPr>
          <w:p w14:paraId="16143CF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75</w:t>
            </w:r>
          </w:p>
        </w:tc>
        <w:tc>
          <w:tcPr>
            <w:tcW w:w="2055" w:type="dxa"/>
            <w:gridSpan w:val="2"/>
            <w:tcBorders>
              <w:top w:val="nil"/>
              <w:left w:val="nil"/>
              <w:bottom w:val="nil"/>
              <w:right w:val="nil"/>
            </w:tcBorders>
            <w:noWrap/>
            <w:vAlign w:val="center"/>
          </w:tcPr>
          <w:p w14:paraId="6320B51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81.52</w:t>
            </w:r>
          </w:p>
        </w:tc>
      </w:tr>
      <w:tr w14:paraId="2067D976">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325850A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color="auto"/>
                <w:shd w:val="clear" w:color="auto" w:fill="auto"/>
                <w:lang w:val="en-US" w:eastAsia="zh-CN"/>
              </w:rPr>
              <w:t>46</w:t>
            </w:r>
            <w:r>
              <w:rPr>
                <w:rFonts w:hint="default" w:ascii="Times New Roman" w:hAnsi="Times New Roman" w:eastAsia="仿宋" w:cs="Times New Roman"/>
                <w:b w:val="0"/>
                <w:bCs w:val="0"/>
                <w:sz w:val="24"/>
                <w:u w:val="none"/>
                <w:shd w:val="clear" w:color="auto" w:fill="auto"/>
              </w:rPr>
              <w:t>~55</w:t>
            </w:r>
            <w:r>
              <w:rPr>
                <w:rFonts w:hint="eastAsia" w:ascii="Times New Roman" w:hAnsi="Times New Roman" w:eastAsia="仿宋" w:cs="Times New Roman"/>
                <w:b w:val="0"/>
                <w:bCs w:val="0"/>
                <w:sz w:val="24"/>
                <w:u w:val="none" w:color="auto"/>
                <w:shd w:val="clear" w:color="auto" w:fill="auto"/>
                <w:lang w:val="en-US" w:eastAsia="zh-CN"/>
              </w:rPr>
              <w:t>岁</w:t>
            </w:r>
          </w:p>
        </w:tc>
        <w:tc>
          <w:tcPr>
            <w:tcW w:w="1809" w:type="dxa"/>
            <w:gridSpan w:val="2"/>
            <w:tcBorders>
              <w:top w:val="nil"/>
              <w:left w:val="nil"/>
              <w:bottom w:val="nil"/>
              <w:right w:val="nil"/>
            </w:tcBorders>
            <w:noWrap/>
            <w:vAlign w:val="center"/>
          </w:tcPr>
          <w:p w14:paraId="1B86DFD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w:t>
            </w:r>
          </w:p>
        </w:tc>
        <w:tc>
          <w:tcPr>
            <w:tcW w:w="2055" w:type="dxa"/>
            <w:gridSpan w:val="2"/>
            <w:tcBorders>
              <w:top w:val="nil"/>
              <w:left w:val="nil"/>
              <w:bottom w:val="nil"/>
              <w:right w:val="nil"/>
            </w:tcBorders>
            <w:noWrap/>
            <w:vAlign w:val="center"/>
          </w:tcPr>
          <w:p w14:paraId="33202A5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4.35</w:t>
            </w:r>
          </w:p>
        </w:tc>
      </w:tr>
      <w:tr w14:paraId="4B0D2E0A">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3E031B0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≥55</w:t>
            </w:r>
            <w:r>
              <w:rPr>
                <w:rFonts w:hint="eastAsia" w:ascii="Times New Roman" w:hAnsi="Times New Roman" w:eastAsia="仿宋" w:cs="Times New Roman"/>
                <w:b w:val="0"/>
                <w:bCs w:val="0"/>
                <w:sz w:val="24"/>
                <w:u w:val="none" w:color="auto"/>
                <w:shd w:val="clear" w:color="auto" w:fill="auto"/>
                <w:lang w:val="en-US" w:eastAsia="zh-CN"/>
              </w:rPr>
              <w:t>岁</w:t>
            </w:r>
          </w:p>
        </w:tc>
        <w:tc>
          <w:tcPr>
            <w:tcW w:w="1809" w:type="dxa"/>
            <w:gridSpan w:val="2"/>
            <w:tcBorders>
              <w:top w:val="nil"/>
              <w:left w:val="nil"/>
              <w:bottom w:val="nil"/>
              <w:right w:val="nil"/>
            </w:tcBorders>
            <w:noWrap/>
            <w:vAlign w:val="center"/>
          </w:tcPr>
          <w:p w14:paraId="3145A39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w:t>
            </w:r>
          </w:p>
        </w:tc>
        <w:tc>
          <w:tcPr>
            <w:tcW w:w="2055" w:type="dxa"/>
            <w:gridSpan w:val="2"/>
            <w:tcBorders>
              <w:top w:val="nil"/>
              <w:left w:val="nil"/>
              <w:bottom w:val="nil"/>
              <w:right w:val="nil"/>
            </w:tcBorders>
            <w:noWrap/>
            <w:vAlign w:val="center"/>
          </w:tcPr>
          <w:p w14:paraId="043C9EE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0.00</w:t>
            </w:r>
          </w:p>
        </w:tc>
      </w:tr>
      <w:tr w14:paraId="450A46A0">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028E6B07">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未知</w:t>
            </w:r>
          </w:p>
        </w:tc>
        <w:tc>
          <w:tcPr>
            <w:tcW w:w="1809" w:type="dxa"/>
            <w:gridSpan w:val="2"/>
            <w:tcBorders>
              <w:top w:val="nil"/>
              <w:left w:val="nil"/>
              <w:bottom w:val="nil"/>
              <w:right w:val="nil"/>
            </w:tcBorders>
            <w:noWrap/>
            <w:vAlign w:val="center"/>
          </w:tcPr>
          <w:p w14:paraId="6F6E9CE7">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2055" w:type="dxa"/>
            <w:gridSpan w:val="2"/>
            <w:tcBorders>
              <w:top w:val="nil"/>
              <w:left w:val="nil"/>
              <w:bottom w:val="nil"/>
              <w:right w:val="nil"/>
            </w:tcBorders>
            <w:noWrap/>
            <w:vAlign w:val="center"/>
          </w:tcPr>
          <w:p w14:paraId="1579EEE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1.09</w:t>
            </w:r>
          </w:p>
        </w:tc>
      </w:tr>
      <w:tr w14:paraId="33C3B134">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29DAC7F4">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婚姻状况</w:t>
            </w:r>
          </w:p>
        </w:tc>
        <w:tc>
          <w:tcPr>
            <w:tcW w:w="1809" w:type="dxa"/>
            <w:gridSpan w:val="2"/>
            <w:tcBorders>
              <w:top w:val="nil"/>
              <w:left w:val="nil"/>
              <w:bottom w:val="nil"/>
              <w:right w:val="nil"/>
            </w:tcBorders>
            <w:noWrap/>
            <w:vAlign w:val="center"/>
          </w:tcPr>
          <w:p w14:paraId="633406B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42ECD86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12E0F016">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049D461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已婚</w:t>
            </w:r>
          </w:p>
        </w:tc>
        <w:tc>
          <w:tcPr>
            <w:tcW w:w="1809" w:type="dxa"/>
            <w:gridSpan w:val="2"/>
            <w:tcBorders>
              <w:top w:val="nil"/>
              <w:left w:val="nil"/>
              <w:bottom w:val="nil"/>
              <w:right w:val="nil"/>
            </w:tcBorders>
            <w:noWrap/>
            <w:vAlign w:val="center"/>
          </w:tcPr>
          <w:p w14:paraId="38F8A33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66</w:t>
            </w:r>
          </w:p>
        </w:tc>
        <w:tc>
          <w:tcPr>
            <w:tcW w:w="2055" w:type="dxa"/>
            <w:gridSpan w:val="2"/>
            <w:tcBorders>
              <w:top w:val="nil"/>
              <w:left w:val="nil"/>
              <w:bottom w:val="nil"/>
              <w:right w:val="nil"/>
            </w:tcBorders>
            <w:noWrap/>
            <w:vAlign w:val="center"/>
          </w:tcPr>
          <w:p w14:paraId="313C7AE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71.74</w:t>
            </w:r>
          </w:p>
        </w:tc>
      </w:tr>
      <w:tr w14:paraId="70BDF21A">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717B3FF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未婚</w:t>
            </w:r>
          </w:p>
        </w:tc>
        <w:tc>
          <w:tcPr>
            <w:tcW w:w="1809" w:type="dxa"/>
            <w:gridSpan w:val="2"/>
            <w:tcBorders>
              <w:top w:val="nil"/>
              <w:left w:val="nil"/>
              <w:bottom w:val="nil"/>
              <w:right w:val="nil"/>
            </w:tcBorders>
            <w:noWrap/>
            <w:vAlign w:val="center"/>
          </w:tcPr>
          <w:p w14:paraId="043DA27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25</w:t>
            </w:r>
          </w:p>
        </w:tc>
        <w:tc>
          <w:tcPr>
            <w:tcW w:w="2055" w:type="dxa"/>
            <w:gridSpan w:val="2"/>
            <w:tcBorders>
              <w:top w:val="nil"/>
              <w:left w:val="nil"/>
              <w:bottom w:val="nil"/>
              <w:right w:val="nil"/>
            </w:tcBorders>
            <w:noWrap/>
            <w:vAlign w:val="center"/>
          </w:tcPr>
          <w:p w14:paraId="4CC6FD7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27.17</w:t>
            </w:r>
          </w:p>
        </w:tc>
      </w:tr>
      <w:tr w14:paraId="607EFC81">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061C986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未知</w:t>
            </w:r>
          </w:p>
        </w:tc>
        <w:tc>
          <w:tcPr>
            <w:tcW w:w="1809" w:type="dxa"/>
            <w:gridSpan w:val="2"/>
            <w:tcBorders>
              <w:top w:val="nil"/>
              <w:left w:val="nil"/>
              <w:bottom w:val="nil"/>
              <w:right w:val="nil"/>
            </w:tcBorders>
            <w:noWrap/>
            <w:vAlign w:val="center"/>
          </w:tcPr>
          <w:p w14:paraId="6E2B964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2055" w:type="dxa"/>
            <w:gridSpan w:val="2"/>
            <w:tcBorders>
              <w:top w:val="nil"/>
              <w:left w:val="nil"/>
              <w:bottom w:val="nil"/>
              <w:right w:val="nil"/>
            </w:tcBorders>
            <w:noWrap/>
            <w:vAlign w:val="center"/>
          </w:tcPr>
          <w:p w14:paraId="0D436FC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1.09</w:t>
            </w:r>
          </w:p>
        </w:tc>
      </w:tr>
      <w:tr w14:paraId="40F3CA15">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5A4CCF3F">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妊娠情况</w:t>
            </w:r>
          </w:p>
        </w:tc>
        <w:tc>
          <w:tcPr>
            <w:tcW w:w="1809" w:type="dxa"/>
            <w:gridSpan w:val="2"/>
            <w:tcBorders>
              <w:top w:val="nil"/>
              <w:left w:val="nil"/>
              <w:bottom w:val="nil"/>
              <w:right w:val="nil"/>
            </w:tcBorders>
            <w:noWrap/>
            <w:vAlign w:val="center"/>
          </w:tcPr>
          <w:p w14:paraId="1F43191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17ADA16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19519C69">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3A5AF90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是</w:t>
            </w:r>
          </w:p>
        </w:tc>
        <w:tc>
          <w:tcPr>
            <w:tcW w:w="1809" w:type="dxa"/>
            <w:gridSpan w:val="2"/>
            <w:tcBorders>
              <w:top w:val="nil"/>
              <w:left w:val="nil"/>
              <w:bottom w:val="nil"/>
              <w:right w:val="nil"/>
            </w:tcBorders>
            <w:noWrap/>
            <w:vAlign w:val="center"/>
          </w:tcPr>
          <w:p w14:paraId="70BA544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w:t>
            </w:r>
          </w:p>
        </w:tc>
        <w:tc>
          <w:tcPr>
            <w:tcW w:w="2055" w:type="dxa"/>
            <w:gridSpan w:val="2"/>
            <w:tcBorders>
              <w:top w:val="nil"/>
              <w:left w:val="nil"/>
              <w:bottom w:val="nil"/>
              <w:right w:val="nil"/>
            </w:tcBorders>
            <w:noWrap/>
            <w:vAlign w:val="center"/>
          </w:tcPr>
          <w:p w14:paraId="1BAA8C4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0.00</w:t>
            </w:r>
          </w:p>
        </w:tc>
      </w:tr>
      <w:tr w14:paraId="621DE4F2">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7B000A2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否</w:t>
            </w:r>
          </w:p>
        </w:tc>
        <w:tc>
          <w:tcPr>
            <w:tcW w:w="1809" w:type="dxa"/>
            <w:gridSpan w:val="2"/>
            <w:tcBorders>
              <w:top w:val="nil"/>
              <w:left w:val="nil"/>
              <w:bottom w:val="nil"/>
              <w:right w:val="nil"/>
            </w:tcBorders>
            <w:noWrap/>
            <w:vAlign w:val="center"/>
          </w:tcPr>
          <w:p w14:paraId="66DE4D4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92</w:t>
            </w:r>
          </w:p>
        </w:tc>
        <w:tc>
          <w:tcPr>
            <w:tcW w:w="2055" w:type="dxa"/>
            <w:gridSpan w:val="2"/>
            <w:tcBorders>
              <w:top w:val="nil"/>
              <w:left w:val="nil"/>
              <w:bottom w:val="nil"/>
              <w:right w:val="nil"/>
            </w:tcBorders>
            <w:noWrap/>
            <w:vAlign w:val="center"/>
          </w:tcPr>
          <w:p w14:paraId="06C4139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100.00</w:t>
            </w:r>
          </w:p>
        </w:tc>
      </w:tr>
      <w:tr w14:paraId="2ED67923">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3C6DA1EA">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人工流产次数</w:t>
            </w:r>
            <w:r>
              <w:rPr>
                <w:rFonts w:hint="eastAsia" w:ascii="Times New Roman" w:hAnsi="Times New Roman" w:eastAsia="仿宋" w:cs="Times New Roman"/>
                <w:b w:val="0"/>
                <w:bCs w:val="0"/>
                <w:sz w:val="24"/>
                <w:u w:val="none"/>
                <w:shd w:val="clear" w:color="auto" w:fill="auto"/>
                <w:lang w:eastAsia="zh-CN"/>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=72</w:t>
            </w:r>
            <w:r>
              <w:rPr>
                <w:rFonts w:hint="eastAsia" w:ascii="Times New Roman" w:hAnsi="Times New Roman" w:eastAsia="仿宋" w:cs="Times New Roman"/>
                <w:b w:val="0"/>
                <w:bCs w:val="0"/>
                <w:sz w:val="24"/>
                <w:u w:val="none"/>
                <w:shd w:val="clear" w:color="auto" w:fill="auto"/>
                <w:lang w:eastAsia="zh-CN"/>
              </w:rPr>
              <w:t>）</w:t>
            </w:r>
          </w:p>
        </w:tc>
        <w:tc>
          <w:tcPr>
            <w:tcW w:w="1809" w:type="dxa"/>
            <w:gridSpan w:val="2"/>
            <w:tcBorders>
              <w:top w:val="nil"/>
              <w:left w:val="nil"/>
              <w:bottom w:val="nil"/>
              <w:right w:val="nil"/>
            </w:tcBorders>
            <w:noWrap/>
            <w:vAlign w:val="center"/>
          </w:tcPr>
          <w:p w14:paraId="2CD1930B">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791105D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5D5F5678">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5F30106B">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w:t>
            </w:r>
          </w:p>
        </w:tc>
        <w:tc>
          <w:tcPr>
            <w:tcW w:w="1809" w:type="dxa"/>
            <w:gridSpan w:val="2"/>
            <w:tcBorders>
              <w:top w:val="nil"/>
              <w:left w:val="nil"/>
              <w:bottom w:val="nil"/>
              <w:right w:val="nil"/>
            </w:tcBorders>
            <w:noWrap/>
            <w:vAlign w:val="center"/>
          </w:tcPr>
          <w:p w14:paraId="085FFC6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34</w:t>
            </w:r>
          </w:p>
        </w:tc>
        <w:tc>
          <w:tcPr>
            <w:tcW w:w="2055" w:type="dxa"/>
            <w:gridSpan w:val="2"/>
            <w:tcBorders>
              <w:top w:val="nil"/>
              <w:left w:val="nil"/>
              <w:bottom w:val="nil"/>
              <w:right w:val="nil"/>
            </w:tcBorders>
            <w:noWrap/>
            <w:vAlign w:val="center"/>
          </w:tcPr>
          <w:p w14:paraId="3FAE106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47.22</w:t>
            </w:r>
          </w:p>
        </w:tc>
      </w:tr>
      <w:tr w14:paraId="21986D47">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70184E2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1809" w:type="dxa"/>
            <w:gridSpan w:val="2"/>
            <w:tcBorders>
              <w:top w:val="nil"/>
              <w:left w:val="nil"/>
              <w:bottom w:val="nil"/>
              <w:right w:val="nil"/>
            </w:tcBorders>
            <w:noWrap/>
            <w:vAlign w:val="center"/>
          </w:tcPr>
          <w:p w14:paraId="065ACE6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25</w:t>
            </w:r>
          </w:p>
        </w:tc>
        <w:tc>
          <w:tcPr>
            <w:tcW w:w="2055" w:type="dxa"/>
            <w:gridSpan w:val="2"/>
            <w:tcBorders>
              <w:top w:val="nil"/>
              <w:left w:val="nil"/>
              <w:bottom w:val="nil"/>
              <w:right w:val="nil"/>
            </w:tcBorders>
            <w:noWrap/>
            <w:vAlign w:val="center"/>
          </w:tcPr>
          <w:p w14:paraId="03B2D06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34.72</w:t>
            </w:r>
          </w:p>
        </w:tc>
      </w:tr>
      <w:tr w14:paraId="2ADAF436">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46D50F7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w:t>
            </w:r>
          </w:p>
        </w:tc>
        <w:tc>
          <w:tcPr>
            <w:tcW w:w="1809" w:type="dxa"/>
            <w:gridSpan w:val="2"/>
            <w:tcBorders>
              <w:top w:val="nil"/>
              <w:left w:val="nil"/>
              <w:bottom w:val="nil"/>
              <w:right w:val="nil"/>
            </w:tcBorders>
            <w:noWrap/>
            <w:vAlign w:val="center"/>
          </w:tcPr>
          <w:p w14:paraId="4E0A8C1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7</w:t>
            </w:r>
          </w:p>
        </w:tc>
        <w:tc>
          <w:tcPr>
            <w:tcW w:w="2055" w:type="dxa"/>
            <w:gridSpan w:val="2"/>
            <w:tcBorders>
              <w:top w:val="nil"/>
              <w:left w:val="nil"/>
              <w:bottom w:val="nil"/>
              <w:right w:val="nil"/>
            </w:tcBorders>
            <w:noWrap/>
            <w:vAlign w:val="center"/>
          </w:tcPr>
          <w:p w14:paraId="11681BE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9.72</w:t>
            </w:r>
          </w:p>
        </w:tc>
      </w:tr>
      <w:tr w14:paraId="216A89DE">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2EF60EE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3及以上</w:t>
            </w:r>
          </w:p>
        </w:tc>
        <w:tc>
          <w:tcPr>
            <w:tcW w:w="1809" w:type="dxa"/>
            <w:gridSpan w:val="2"/>
            <w:tcBorders>
              <w:top w:val="nil"/>
              <w:left w:val="nil"/>
              <w:bottom w:val="nil"/>
              <w:right w:val="nil"/>
            </w:tcBorders>
            <w:noWrap/>
            <w:vAlign w:val="center"/>
          </w:tcPr>
          <w:p w14:paraId="5D19A59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6</w:t>
            </w:r>
          </w:p>
        </w:tc>
        <w:tc>
          <w:tcPr>
            <w:tcW w:w="2055" w:type="dxa"/>
            <w:gridSpan w:val="2"/>
            <w:tcBorders>
              <w:top w:val="nil"/>
              <w:left w:val="nil"/>
              <w:bottom w:val="nil"/>
              <w:right w:val="nil"/>
            </w:tcBorders>
            <w:noWrap/>
            <w:vAlign w:val="center"/>
          </w:tcPr>
          <w:p w14:paraId="70FAE93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8.33</w:t>
            </w:r>
          </w:p>
        </w:tc>
      </w:tr>
      <w:tr w14:paraId="1597BCFE">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696DB665">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有无吸烟史</w:t>
            </w:r>
          </w:p>
        </w:tc>
        <w:tc>
          <w:tcPr>
            <w:tcW w:w="1809" w:type="dxa"/>
            <w:gridSpan w:val="2"/>
            <w:tcBorders>
              <w:top w:val="nil"/>
              <w:left w:val="nil"/>
              <w:bottom w:val="nil"/>
              <w:right w:val="nil"/>
            </w:tcBorders>
            <w:noWrap/>
            <w:vAlign w:val="center"/>
          </w:tcPr>
          <w:p w14:paraId="742DCCD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495ABF8B">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4D4FD963">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2495837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是</w:t>
            </w:r>
          </w:p>
        </w:tc>
        <w:tc>
          <w:tcPr>
            <w:tcW w:w="1809" w:type="dxa"/>
            <w:gridSpan w:val="2"/>
            <w:tcBorders>
              <w:top w:val="nil"/>
              <w:left w:val="nil"/>
              <w:bottom w:val="nil"/>
              <w:right w:val="nil"/>
            </w:tcBorders>
            <w:noWrap/>
            <w:vAlign w:val="center"/>
          </w:tcPr>
          <w:p w14:paraId="4CA2491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w:t>
            </w:r>
          </w:p>
        </w:tc>
        <w:tc>
          <w:tcPr>
            <w:tcW w:w="2055" w:type="dxa"/>
            <w:gridSpan w:val="2"/>
            <w:tcBorders>
              <w:top w:val="nil"/>
              <w:left w:val="nil"/>
              <w:bottom w:val="nil"/>
              <w:right w:val="nil"/>
            </w:tcBorders>
            <w:noWrap/>
            <w:vAlign w:val="center"/>
          </w:tcPr>
          <w:p w14:paraId="207BC85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0.00</w:t>
            </w:r>
          </w:p>
        </w:tc>
      </w:tr>
      <w:tr w14:paraId="1084EA40">
        <w:tblPrEx>
          <w:tblCellMar>
            <w:top w:w="0" w:type="dxa"/>
            <w:left w:w="108" w:type="dxa"/>
            <w:bottom w:w="0" w:type="dxa"/>
            <w:right w:w="108" w:type="dxa"/>
          </w:tblCellMar>
        </w:tblPrEx>
        <w:trPr>
          <w:gridAfter w:val="1"/>
          <w:wAfter w:w="288" w:type="dxa"/>
          <w:trHeight w:val="429" w:hRule="atLeast"/>
          <w:jc w:val="center"/>
        </w:trPr>
        <w:tc>
          <w:tcPr>
            <w:tcW w:w="4108" w:type="dxa"/>
            <w:tcBorders>
              <w:top w:val="nil"/>
              <w:left w:val="nil"/>
              <w:bottom w:val="nil"/>
              <w:right w:val="nil"/>
            </w:tcBorders>
            <w:noWrap/>
            <w:vAlign w:val="center"/>
          </w:tcPr>
          <w:p w14:paraId="0182098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否</w:t>
            </w:r>
          </w:p>
        </w:tc>
        <w:tc>
          <w:tcPr>
            <w:tcW w:w="1809" w:type="dxa"/>
            <w:gridSpan w:val="2"/>
            <w:tcBorders>
              <w:top w:val="nil"/>
              <w:left w:val="nil"/>
              <w:bottom w:val="nil"/>
              <w:right w:val="nil"/>
            </w:tcBorders>
            <w:noWrap/>
            <w:vAlign w:val="center"/>
          </w:tcPr>
          <w:p w14:paraId="68DBD2E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92</w:t>
            </w:r>
          </w:p>
        </w:tc>
        <w:tc>
          <w:tcPr>
            <w:tcW w:w="2055" w:type="dxa"/>
            <w:gridSpan w:val="2"/>
            <w:tcBorders>
              <w:top w:val="nil"/>
              <w:left w:val="nil"/>
              <w:bottom w:val="nil"/>
              <w:right w:val="nil"/>
            </w:tcBorders>
            <w:noWrap/>
            <w:vAlign w:val="center"/>
          </w:tcPr>
          <w:p w14:paraId="58A44CF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100.00</w:t>
            </w:r>
          </w:p>
        </w:tc>
      </w:tr>
      <w:tr w14:paraId="1C9BB891">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6F65F453">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性伴侣人数</w:t>
            </w:r>
            <w:r>
              <w:rPr>
                <w:rFonts w:hint="eastAsia" w:ascii="Times New Roman" w:hAnsi="Times New Roman" w:eastAsia="仿宋" w:cs="Times New Roman"/>
                <w:b w:val="0"/>
                <w:bCs w:val="0"/>
                <w:sz w:val="24"/>
                <w:u w:val="none"/>
                <w:shd w:val="clear" w:color="auto" w:fill="auto"/>
                <w:lang w:eastAsia="zh-CN"/>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=40</w:t>
            </w:r>
            <w:r>
              <w:rPr>
                <w:rFonts w:hint="eastAsia" w:ascii="Times New Roman" w:hAnsi="Times New Roman" w:eastAsia="仿宋" w:cs="Times New Roman"/>
                <w:b w:val="0"/>
                <w:bCs w:val="0"/>
                <w:sz w:val="24"/>
                <w:u w:val="none"/>
                <w:shd w:val="clear" w:color="auto" w:fill="auto"/>
                <w:lang w:eastAsia="zh-CN"/>
              </w:rPr>
              <w:t>）</w:t>
            </w:r>
          </w:p>
        </w:tc>
        <w:tc>
          <w:tcPr>
            <w:tcW w:w="1809" w:type="dxa"/>
            <w:gridSpan w:val="2"/>
            <w:tcBorders>
              <w:top w:val="nil"/>
              <w:left w:val="nil"/>
              <w:bottom w:val="nil"/>
              <w:right w:val="nil"/>
            </w:tcBorders>
            <w:noWrap/>
            <w:vAlign w:val="center"/>
          </w:tcPr>
          <w:p w14:paraId="6853AEA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6F991F4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0CC56520">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104CE10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1809" w:type="dxa"/>
            <w:gridSpan w:val="2"/>
            <w:tcBorders>
              <w:top w:val="nil"/>
              <w:left w:val="nil"/>
              <w:bottom w:val="nil"/>
              <w:right w:val="nil"/>
            </w:tcBorders>
            <w:noWrap/>
            <w:vAlign w:val="center"/>
          </w:tcPr>
          <w:p w14:paraId="16C9DAF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w:t>
            </w:r>
          </w:p>
        </w:tc>
        <w:tc>
          <w:tcPr>
            <w:tcW w:w="2055" w:type="dxa"/>
            <w:gridSpan w:val="2"/>
            <w:tcBorders>
              <w:top w:val="nil"/>
              <w:left w:val="nil"/>
              <w:bottom w:val="nil"/>
              <w:right w:val="nil"/>
            </w:tcBorders>
            <w:noWrap/>
            <w:vAlign w:val="center"/>
          </w:tcPr>
          <w:p w14:paraId="7FCD204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25.00</w:t>
            </w:r>
          </w:p>
        </w:tc>
      </w:tr>
      <w:tr w14:paraId="5F036324">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463E5DF7">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w:t>
            </w:r>
          </w:p>
        </w:tc>
        <w:tc>
          <w:tcPr>
            <w:tcW w:w="1809" w:type="dxa"/>
            <w:gridSpan w:val="2"/>
            <w:tcBorders>
              <w:top w:val="nil"/>
              <w:left w:val="nil"/>
              <w:bottom w:val="nil"/>
              <w:right w:val="nil"/>
            </w:tcBorders>
            <w:noWrap/>
            <w:vAlign w:val="center"/>
          </w:tcPr>
          <w:p w14:paraId="290A613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13</w:t>
            </w:r>
          </w:p>
        </w:tc>
        <w:tc>
          <w:tcPr>
            <w:tcW w:w="2055" w:type="dxa"/>
            <w:gridSpan w:val="2"/>
            <w:tcBorders>
              <w:top w:val="nil"/>
              <w:left w:val="nil"/>
              <w:bottom w:val="nil"/>
              <w:right w:val="nil"/>
            </w:tcBorders>
            <w:noWrap/>
            <w:vAlign w:val="center"/>
          </w:tcPr>
          <w:p w14:paraId="1328448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32.50</w:t>
            </w:r>
          </w:p>
        </w:tc>
      </w:tr>
      <w:tr w14:paraId="17E1CBDF">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3012B72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3及以上</w:t>
            </w:r>
          </w:p>
        </w:tc>
        <w:tc>
          <w:tcPr>
            <w:tcW w:w="1809" w:type="dxa"/>
            <w:gridSpan w:val="2"/>
            <w:tcBorders>
              <w:top w:val="nil"/>
              <w:left w:val="nil"/>
              <w:bottom w:val="nil"/>
              <w:right w:val="nil"/>
            </w:tcBorders>
            <w:noWrap/>
            <w:vAlign w:val="center"/>
          </w:tcPr>
          <w:p w14:paraId="785D238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17</w:t>
            </w:r>
          </w:p>
        </w:tc>
        <w:tc>
          <w:tcPr>
            <w:tcW w:w="2055" w:type="dxa"/>
            <w:gridSpan w:val="2"/>
            <w:tcBorders>
              <w:top w:val="nil"/>
              <w:left w:val="nil"/>
              <w:bottom w:val="nil"/>
              <w:right w:val="nil"/>
            </w:tcBorders>
            <w:noWrap/>
            <w:vAlign w:val="center"/>
          </w:tcPr>
          <w:p w14:paraId="58F4CD1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42.50</w:t>
            </w:r>
          </w:p>
        </w:tc>
      </w:tr>
      <w:tr w14:paraId="7E03C2A0">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27FAD4EC">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避孕方式</w:t>
            </w:r>
            <w:r>
              <w:rPr>
                <w:rFonts w:hint="eastAsia" w:ascii="Times New Roman" w:hAnsi="Times New Roman" w:eastAsia="仿宋" w:cs="Times New Roman"/>
                <w:b w:val="0"/>
                <w:bCs w:val="0"/>
                <w:sz w:val="24"/>
                <w:u w:val="none"/>
                <w:shd w:val="clear" w:color="auto" w:fill="auto"/>
                <w:lang w:eastAsia="zh-CN"/>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=76</w:t>
            </w:r>
            <w:r>
              <w:rPr>
                <w:rFonts w:hint="eastAsia" w:ascii="Times New Roman" w:hAnsi="Times New Roman" w:eastAsia="仿宋" w:cs="Times New Roman"/>
                <w:b w:val="0"/>
                <w:bCs w:val="0"/>
                <w:sz w:val="24"/>
                <w:u w:val="none"/>
                <w:shd w:val="clear" w:color="auto" w:fill="auto"/>
                <w:lang w:eastAsia="zh-CN"/>
              </w:rPr>
              <w:t>）</w:t>
            </w:r>
          </w:p>
        </w:tc>
        <w:tc>
          <w:tcPr>
            <w:tcW w:w="1809" w:type="dxa"/>
            <w:gridSpan w:val="2"/>
            <w:tcBorders>
              <w:top w:val="nil"/>
              <w:left w:val="nil"/>
              <w:bottom w:val="nil"/>
              <w:right w:val="nil"/>
            </w:tcBorders>
            <w:noWrap/>
            <w:vAlign w:val="center"/>
          </w:tcPr>
          <w:p w14:paraId="79A60D7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2055" w:type="dxa"/>
            <w:gridSpan w:val="2"/>
            <w:tcBorders>
              <w:top w:val="nil"/>
              <w:left w:val="nil"/>
              <w:bottom w:val="nil"/>
              <w:right w:val="nil"/>
            </w:tcBorders>
            <w:noWrap/>
            <w:vAlign w:val="center"/>
          </w:tcPr>
          <w:p w14:paraId="4E84121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65D4D4B8">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6713592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避孕套</w:t>
            </w:r>
          </w:p>
        </w:tc>
        <w:tc>
          <w:tcPr>
            <w:tcW w:w="1809" w:type="dxa"/>
            <w:gridSpan w:val="2"/>
            <w:tcBorders>
              <w:top w:val="nil"/>
              <w:left w:val="nil"/>
              <w:bottom w:val="nil"/>
              <w:right w:val="nil"/>
            </w:tcBorders>
            <w:noWrap/>
            <w:vAlign w:val="center"/>
          </w:tcPr>
          <w:p w14:paraId="36B5813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44</w:t>
            </w:r>
          </w:p>
        </w:tc>
        <w:tc>
          <w:tcPr>
            <w:tcW w:w="2055" w:type="dxa"/>
            <w:gridSpan w:val="2"/>
            <w:tcBorders>
              <w:top w:val="nil"/>
              <w:left w:val="nil"/>
              <w:bottom w:val="nil"/>
              <w:right w:val="nil"/>
            </w:tcBorders>
            <w:noWrap/>
            <w:vAlign w:val="center"/>
          </w:tcPr>
          <w:p w14:paraId="51CBC40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57.89</w:t>
            </w:r>
          </w:p>
        </w:tc>
      </w:tr>
      <w:tr w14:paraId="58A4038C">
        <w:tblPrEx>
          <w:tblCellMar>
            <w:top w:w="0" w:type="dxa"/>
            <w:left w:w="108" w:type="dxa"/>
            <w:bottom w:w="0" w:type="dxa"/>
            <w:right w:w="108" w:type="dxa"/>
          </w:tblCellMar>
        </w:tblPrEx>
        <w:trPr>
          <w:gridAfter w:val="1"/>
          <w:wAfter w:w="288" w:type="dxa"/>
          <w:trHeight w:val="439" w:hRule="atLeast"/>
          <w:jc w:val="center"/>
        </w:trPr>
        <w:tc>
          <w:tcPr>
            <w:tcW w:w="4108" w:type="dxa"/>
            <w:tcBorders>
              <w:top w:val="nil"/>
              <w:left w:val="nil"/>
              <w:bottom w:val="nil"/>
              <w:right w:val="nil"/>
            </w:tcBorders>
            <w:noWrap/>
            <w:vAlign w:val="center"/>
          </w:tcPr>
          <w:p w14:paraId="03B2822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无或自然避孕</w:t>
            </w:r>
          </w:p>
        </w:tc>
        <w:tc>
          <w:tcPr>
            <w:tcW w:w="1809" w:type="dxa"/>
            <w:gridSpan w:val="2"/>
            <w:tcBorders>
              <w:top w:val="nil"/>
              <w:left w:val="nil"/>
              <w:bottom w:val="nil"/>
              <w:right w:val="nil"/>
            </w:tcBorders>
            <w:noWrap/>
            <w:vAlign w:val="center"/>
          </w:tcPr>
          <w:p w14:paraId="052D493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29</w:t>
            </w:r>
          </w:p>
        </w:tc>
        <w:tc>
          <w:tcPr>
            <w:tcW w:w="2055" w:type="dxa"/>
            <w:gridSpan w:val="2"/>
            <w:tcBorders>
              <w:top w:val="nil"/>
              <w:left w:val="nil"/>
              <w:bottom w:val="nil"/>
              <w:right w:val="nil"/>
            </w:tcBorders>
            <w:noWrap/>
            <w:vAlign w:val="center"/>
          </w:tcPr>
          <w:p w14:paraId="7C8CDB9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38.16</w:t>
            </w:r>
          </w:p>
        </w:tc>
      </w:tr>
      <w:tr w14:paraId="7E1A4E37">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0D51D7D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上环</w:t>
            </w:r>
          </w:p>
        </w:tc>
        <w:tc>
          <w:tcPr>
            <w:tcW w:w="1085" w:type="dxa"/>
            <w:tcBorders>
              <w:top w:val="nil"/>
              <w:left w:val="nil"/>
              <w:bottom w:val="nil"/>
              <w:right w:val="nil"/>
            </w:tcBorders>
            <w:noWrap/>
            <w:vAlign w:val="center"/>
          </w:tcPr>
          <w:p w14:paraId="0E6E945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0B6F878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w:t>
            </w:r>
          </w:p>
        </w:tc>
        <w:tc>
          <w:tcPr>
            <w:tcW w:w="1828" w:type="dxa"/>
            <w:gridSpan w:val="2"/>
            <w:tcBorders>
              <w:top w:val="nil"/>
              <w:left w:val="nil"/>
              <w:bottom w:val="nil"/>
              <w:right w:val="nil"/>
            </w:tcBorders>
            <w:noWrap/>
            <w:vAlign w:val="center"/>
          </w:tcPr>
          <w:p w14:paraId="5D7D7AF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2.63</w:t>
            </w:r>
          </w:p>
        </w:tc>
      </w:tr>
      <w:tr w14:paraId="121DC8F9">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12D8C4C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结扎</w:t>
            </w:r>
          </w:p>
        </w:tc>
        <w:tc>
          <w:tcPr>
            <w:tcW w:w="1085" w:type="dxa"/>
            <w:tcBorders>
              <w:top w:val="nil"/>
              <w:left w:val="nil"/>
              <w:bottom w:val="nil"/>
              <w:right w:val="nil"/>
            </w:tcBorders>
            <w:noWrap/>
            <w:vAlign w:val="center"/>
          </w:tcPr>
          <w:p w14:paraId="261436E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58342B2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1828" w:type="dxa"/>
            <w:gridSpan w:val="2"/>
            <w:tcBorders>
              <w:top w:val="nil"/>
              <w:left w:val="nil"/>
              <w:bottom w:val="nil"/>
              <w:right w:val="nil"/>
            </w:tcBorders>
            <w:noWrap/>
            <w:vAlign w:val="center"/>
          </w:tcPr>
          <w:p w14:paraId="58AA62D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1.32</w:t>
            </w:r>
          </w:p>
        </w:tc>
      </w:tr>
      <w:tr w14:paraId="789F8ADE">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3A0B0B0E">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术前HPV结果</w:t>
            </w:r>
          </w:p>
        </w:tc>
        <w:tc>
          <w:tcPr>
            <w:tcW w:w="1085" w:type="dxa"/>
            <w:tcBorders>
              <w:top w:val="nil"/>
              <w:left w:val="nil"/>
              <w:bottom w:val="nil"/>
              <w:right w:val="nil"/>
            </w:tcBorders>
            <w:noWrap/>
            <w:vAlign w:val="center"/>
          </w:tcPr>
          <w:p w14:paraId="5674EB8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22838A5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828" w:type="dxa"/>
            <w:gridSpan w:val="2"/>
            <w:tcBorders>
              <w:top w:val="nil"/>
              <w:left w:val="nil"/>
              <w:bottom w:val="nil"/>
              <w:right w:val="nil"/>
            </w:tcBorders>
            <w:noWrap/>
            <w:vAlign w:val="center"/>
          </w:tcPr>
          <w:p w14:paraId="51A9113C">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67DA42D6">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0"/>
            <w:vAlign w:val="center"/>
          </w:tcPr>
          <w:p w14:paraId="26DE036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HPV16阳性</w:t>
            </w:r>
          </w:p>
        </w:tc>
        <w:tc>
          <w:tcPr>
            <w:tcW w:w="1085" w:type="dxa"/>
            <w:tcBorders>
              <w:top w:val="nil"/>
              <w:left w:val="nil"/>
              <w:bottom w:val="nil"/>
              <w:right w:val="nil"/>
            </w:tcBorders>
            <w:noWrap w:val="0"/>
            <w:vAlign w:val="center"/>
          </w:tcPr>
          <w:p w14:paraId="64CBBF9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0"/>
            <w:vAlign w:val="center"/>
          </w:tcPr>
          <w:p w14:paraId="3DFF208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19</w:t>
            </w:r>
          </w:p>
        </w:tc>
        <w:tc>
          <w:tcPr>
            <w:tcW w:w="1828" w:type="dxa"/>
            <w:gridSpan w:val="2"/>
            <w:tcBorders>
              <w:top w:val="nil"/>
              <w:left w:val="nil"/>
              <w:bottom w:val="nil"/>
              <w:right w:val="nil"/>
            </w:tcBorders>
            <w:noWrap/>
            <w:vAlign w:val="center"/>
          </w:tcPr>
          <w:p w14:paraId="054C2AE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20.65</w:t>
            </w:r>
          </w:p>
        </w:tc>
      </w:tr>
      <w:tr w14:paraId="15FCE1CD">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2023BCFD">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HPV18阳性</w:t>
            </w:r>
          </w:p>
        </w:tc>
        <w:tc>
          <w:tcPr>
            <w:tcW w:w="1085" w:type="dxa"/>
            <w:tcBorders>
              <w:top w:val="nil"/>
              <w:left w:val="nil"/>
              <w:bottom w:val="nil"/>
              <w:right w:val="nil"/>
            </w:tcBorders>
            <w:noWrap/>
            <w:vAlign w:val="center"/>
          </w:tcPr>
          <w:p w14:paraId="6F6DB42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0F001E8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1828" w:type="dxa"/>
            <w:gridSpan w:val="2"/>
            <w:tcBorders>
              <w:top w:val="nil"/>
              <w:left w:val="nil"/>
              <w:bottom w:val="nil"/>
              <w:right w:val="nil"/>
            </w:tcBorders>
            <w:noWrap/>
            <w:vAlign w:val="center"/>
          </w:tcPr>
          <w:p w14:paraId="3BE28C25">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1.09</w:t>
            </w:r>
          </w:p>
        </w:tc>
      </w:tr>
      <w:tr w14:paraId="7429F0AF">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03D529D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HPV其他12种</w:t>
            </w:r>
            <w:r>
              <w:rPr>
                <w:rFonts w:hint="default" w:ascii="Times New Roman" w:hAnsi="Times New Roman" w:eastAsia="仿宋" w:cs="Times New Roman"/>
                <w:b w:val="0"/>
                <w:bCs w:val="0"/>
                <w:sz w:val="24"/>
                <w:u w:val="none" w:color="auto"/>
                <w:shd w:val="clear" w:color="auto" w:fill="auto"/>
              </w:rPr>
              <w:t>阳性</w:t>
            </w:r>
          </w:p>
        </w:tc>
        <w:tc>
          <w:tcPr>
            <w:tcW w:w="1085" w:type="dxa"/>
            <w:tcBorders>
              <w:top w:val="nil"/>
              <w:left w:val="nil"/>
              <w:bottom w:val="nil"/>
              <w:right w:val="nil"/>
            </w:tcBorders>
            <w:noWrap/>
            <w:vAlign w:val="center"/>
          </w:tcPr>
          <w:p w14:paraId="6AA50C3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6C27B4B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56</w:t>
            </w:r>
          </w:p>
        </w:tc>
        <w:tc>
          <w:tcPr>
            <w:tcW w:w="1828" w:type="dxa"/>
            <w:gridSpan w:val="2"/>
            <w:tcBorders>
              <w:top w:val="nil"/>
              <w:left w:val="nil"/>
              <w:bottom w:val="nil"/>
              <w:right w:val="nil"/>
            </w:tcBorders>
            <w:noWrap/>
            <w:vAlign w:val="center"/>
          </w:tcPr>
          <w:p w14:paraId="458D75A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60.87</w:t>
            </w:r>
          </w:p>
        </w:tc>
      </w:tr>
      <w:tr w14:paraId="241E984F">
        <w:tblPrEx>
          <w:tblCellMar>
            <w:top w:w="0" w:type="dxa"/>
            <w:left w:w="108" w:type="dxa"/>
            <w:bottom w:w="0" w:type="dxa"/>
            <w:right w:w="108" w:type="dxa"/>
          </w:tblCellMar>
        </w:tblPrEx>
        <w:trPr>
          <w:trHeight w:val="488" w:hRule="atLeast"/>
          <w:jc w:val="center"/>
        </w:trPr>
        <w:tc>
          <w:tcPr>
            <w:tcW w:w="4108" w:type="dxa"/>
            <w:tcBorders>
              <w:top w:val="nil"/>
              <w:left w:val="nil"/>
              <w:bottom w:val="nil"/>
              <w:right w:val="nil"/>
            </w:tcBorders>
            <w:noWrap w:val="0"/>
            <w:vAlign w:val="center"/>
          </w:tcPr>
          <w:p w14:paraId="6E000E9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HPV16阳性伴其他12种阳性</w:t>
            </w:r>
          </w:p>
        </w:tc>
        <w:tc>
          <w:tcPr>
            <w:tcW w:w="1085" w:type="dxa"/>
            <w:tcBorders>
              <w:top w:val="nil"/>
              <w:left w:val="nil"/>
              <w:bottom w:val="nil"/>
              <w:right w:val="nil"/>
            </w:tcBorders>
            <w:noWrap/>
            <w:vAlign w:val="center"/>
          </w:tcPr>
          <w:p w14:paraId="774BDB0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2C58665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16</w:t>
            </w:r>
          </w:p>
        </w:tc>
        <w:tc>
          <w:tcPr>
            <w:tcW w:w="1828" w:type="dxa"/>
            <w:gridSpan w:val="2"/>
            <w:tcBorders>
              <w:top w:val="nil"/>
              <w:left w:val="nil"/>
              <w:bottom w:val="nil"/>
              <w:right w:val="nil"/>
            </w:tcBorders>
            <w:noWrap/>
            <w:vAlign w:val="center"/>
          </w:tcPr>
          <w:p w14:paraId="5E32AFA6">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17.39</w:t>
            </w:r>
          </w:p>
        </w:tc>
      </w:tr>
      <w:tr w14:paraId="6C871EED">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ign w:val="center"/>
          </w:tcPr>
          <w:p w14:paraId="42275CDA">
            <w:pPr>
              <w:keepNext w:val="0"/>
              <w:keepLines w:val="0"/>
              <w:suppressLineNumbers w:val="0"/>
              <w:spacing w:before="0" w:beforeAutospacing="0" w:after="0" w:afterAutospacing="0"/>
              <w:ind w:left="0" w:right="0" w:firstLine="480" w:firstLineChars="200"/>
              <w:jc w:val="both"/>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术前LCT结果</w:t>
            </w:r>
          </w:p>
        </w:tc>
        <w:tc>
          <w:tcPr>
            <w:tcW w:w="1085" w:type="dxa"/>
            <w:tcBorders>
              <w:top w:val="nil"/>
              <w:left w:val="nil"/>
              <w:bottom w:val="nil"/>
              <w:right w:val="nil"/>
            </w:tcBorders>
            <w:noWrap/>
            <w:vAlign w:val="center"/>
          </w:tcPr>
          <w:p w14:paraId="50F8E12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462A9E2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828" w:type="dxa"/>
            <w:gridSpan w:val="2"/>
            <w:tcBorders>
              <w:top w:val="nil"/>
              <w:left w:val="nil"/>
              <w:bottom w:val="nil"/>
              <w:right w:val="nil"/>
            </w:tcBorders>
            <w:noWrap/>
            <w:vAlign w:val="center"/>
          </w:tcPr>
          <w:p w14:paraId="69F7827E">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r>
      <w:tr w14:paraId="4E52D0B0">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0"/>
            <w:vAlign w:val="center"/>
          </w:tcPr>
          <w:p w14:paraId="70AF723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ASC-US</w:t>
            </w:r>
          </w:p>
        </w:tc>
        <w:tc>
          <w:tcPr>
            <w:tcW w:w="1085" w:type="dxa"/>
            <w:tcBorders>
              <w:top w:val="nil"/>
              <w:left w:val="nil"/>
              <w:bottom w:val="nil"/>
              <w:right w:val="nil"/>
            </w:tcBorders>
            <w:noWrap/>
            <w:vAlign w:val="center"/>
          </w:tcPr>
          <w:p w14:paraId="1445AE4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4ABCEEA0">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lang w:val="en-US" w:eastAsia="zh-CN"/>
              </w:rPr>
            </w:pPr>
            <w:r>
              <w:rPr>
                <w:rFonts w:hint="eastAsia" w:ascii="Times New Roman" w:hAnsi="Times New Roman" w:eastAsia="仿宋" w:cs="Times New Roman"/>
                <w:b w:val="0"/>
                <w:bCs w:val="0"/>
                <w:sz w:val="24"/>
                <w:u w:val="none"/>
                <w:shd w:val="clear" w:color="auto" w:fill="auto"/>
                <w:lang w:val="en-US" w:eastAsia="zh-CN"/>
              </w:rPr>
              <w:t>44</w:t>
            </w:r>
          </w:p>
        </w:tc>
        <w:tc>
          <w:tcPr>
            <w:tcW w:w="1828" w:type="dxa"/>
            <w:gridSpan w:val="2"/>
            <w:tcBorders>
              <w:top w:val="nil"/>
              <w:left w:val="nil"/>
              <w:bottom w:val="nil"/>
              <w:right w:val="nil"/>
            </w:tcBorders>
            <w:noWrap/>
            <w:vAlign w:val="center"/>
          </w:tcPr>
          <w:p w14:paraId="428C7CD4">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shd w:val="clear" w:color="auto" w:fill="auto"/>
                <w:lang w:val="en-US" w:eastAsia="zh-CN"/>
              </w:rPr>
              <w:t>47.82</w:t>
            </w:r>
          </w:p>
        </w:tc>
      </w:tr>
      <w:tr w14:paraId="0FAAFE5E">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0"/>
            <w:vAlign w:val="center"/>
          </w:tcPr>
          <w:p w14:paraId="6C1439E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LSIL</w:t>
            </w:r>
          </w:p>
        </w:tc>
        <w:tc>
          <w:tcPr>
            <w:tcW w:w="1085" w:type="dxa"/>
            <w:tcBorders>
              <w:top w:val="nil"/>
              <w:left w:val="nil"/>
              <w:bottom w:val="nil"/>
              <w:right w:val="nil"/>
            </w:tcBorders>
            <w:noWrap/>
            <w:vAlign w:val="center"/>
          </w:tcPr>
          <w:p w14:paraId="513BFCF3">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5A2078C7">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lang w:val="en-US" w:eastAsia="zh-CN"/>
              </w:rPr>
            </w:pPr>
            <w:r>
              <w:rPr>
                <w:rFonts w:hint="eastAsia" w:ascii="Times New Roman" w:hAnsi="Times New Roman" w:eastAsia="仿宋" w:cs="Times New Roman"/>
                <w:b w:val="0"/>
                <w:bCs w:val="0"/>
                <w:sz w:val="24"/>
                <w:u w:val="none"/>
                <w:shd w:val="clear" w:color="auto" w:fill="auto"/>
                <w:lang w:val="en-US" w:eastAsia="zh-CN"/>
              </w:rPr>
              <w:t>19</w:t>
            </w:r>
          </w:p>
        </w:tc>
        <w:tc>
          <w:tcPr>
            <w:tcW w:w="1828" w:type="dxa"/>
            <w:gridSpan w:val="2"/>
            <w:tcBorders>
              <w:top w:val="nil"/>
              <w:left w:val="nil"/>
              <w:bottom w:val="nil"/>
              <w:right w:val="nil"/>
            </w:tcBorders>
            <w:noWrap/>
            <w:vAlign w:val="center"/>
          </w:tcPr>
          <w:p w14:paraId="22419E8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shd w:val="clear" w:color="auto" w:fill="auto"/>
                <w:lang w:val="en-US" w:eastAsia="zh-CN"/>
              </w:rPr>
              <w:t>20.65</w:t>
            </w:r>
          </w:p>
        </w:tc>
      </w:tr>
      <w:tr w14:paraId="285FE5F2">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0"/>
            <w:vAlign w:val="center"/>
          </w:tcPr>
          <w:p w14:paraId="19A4F76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HSIL</w:t>
            </w:r>
          </w:p>
        </w:tc>
        <w:tc>
          <w:tcPr>
            <w:tcW w:w="1085" w:type="dxa"/>
            <w:tcBorders>
              <w:top w:val="nil"/>
              <w:left w:val="nil"/>
              <w:bottom w:val="nil"/>
              <w:right w:val="nil"/>
            </w:tcBorders>
            <w:noWrap/>
            <w:vAlign w:val="center"/>
          </w:tcPr>
          <w:p w14:paraId="1FFC597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720B7AB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w:t>
            </w:r>
          </w:p>
        </w:tc>
        <w:tc>
          <w:tcPr>
            <w:tcW w:w="1828" w:type="dxa"/>
            <w:gridSpan w:val="2"/>
            <w:tcBorders>
              <w:top w:val="nil"/>
              <w:left w:val="nil"/>
              <w:bottom w:val="nil"/>
              <w:right w:val="nil"/>
            </w:tcBorders>
            <w:noWrap/>
            <w:vAlign w:val="center"/>
          </w:tcPr>
          <w:p w14:paraId="6E96930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4.35</w:t>
            </w:r>
          </w:p>
        </w:tc>
      </w:tr>
      <w:tr w14:paraId="648BA813">
        <w:tblPrEx>
          <w:tblCellMar>
            <w:top w:w="0" w:type="dxa"/>
            <w:left w:w="108" w:type="dxa"/>
            <w:bottom w:w="0" w:type="dxa"/>
            <w:right w:w="108" w:type="dxa"/>
          </w:tblCellMar>
        </w:tblPrEx>
        <w:trPr>
          <w:trHeight w:val="439" w:hRule="atLeast"/>
          <w:jc w:val="center"/>
        </w:trPr>
        <w:tc>
          <w:tcPr>
            <w:tcW w:w="4108" w:type="dxa"/>
            <w:tcBorders>
              <w:top w:val="nil"/>
              <w:left w:val="nil"/>
              <w:bottom w:val="nil"/>
              <w:right w:val="nil"/>
            </w:tcBorders>
            <w:noWrap w:val="0"/>
            <w:vAlign w:val="center"/>
          </w:tcPr>
          <w:p w14:paraId="086E7D9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阴性</w:t>
            </w:r>
          </w:p>
        </w:tc>
        <w:tc>
          <w:tcPr>
            <w:tcW w:w="1085" w:type="dxa"/>
            <w:tcBorders>
              <w:top w:val="nil"/>
              <w:left w:val="nil"/>
              <w:bottom w:val="nil"/>
              <w:right w:val="nil"/>
            </w:tcBorders>
            <w:noWrap/>
            <w:vAlign w:val="center"/>
          </w:tcPr>
          <w:p w14:paraId="1672B14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nil"/>
              <w:right w:val="nil"/>
            </w:tcBorders>
            <w:noWrap/>
            <w:vAlign w:val="center"/>
          </w:tcPr>
          <w:p w14:paraId="51F76361">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lang w:val="en-US" w:eastAsia="zh-CN"/>
              </w:rPr>
            </w:pPr>
            <w:r>
              <w:rPr>
                <w:rFonts w:hint="eastAsia" w:ascii="Times New Roman" w:hAnsi="Times New Roman" w:eastAsia="仿宋" w:cs="Times New Roman"/>
                <w:b w:val="0"/>
                <w:bCs w:val="0"/>
                <w:sz w:val="24"/>
                <w:u w:val="none"/>
                <w:shd w:val="clear" w:color="auto" w:fill="auto"/>
                <w:lang w:val="en-US" w:eastAsia="zh-CN"/>
              </w:rPr>
              <w:t>24</w:t>
            </w:r>
          </w:p>
        </w:tc>
        <w:tc>
          <w:tcPr>
            <w:tcW w:w="1828" w:type="dxa"/>
            <w:gridSpan w:val="2"/>
            <w:tcBorders>
              <w:top w:val="nil"/>
              <w:left w:val="nil"/>
              <w:bottom w:val="nil"/>
              <w:right w:val="nil"/>
            </w:tcBorders>
            <w:noWrap/>
            <w:vAlign w:val="center"/>
          </w:tcPr>
          <w:p w14:paraId="220E2C3A">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shd w:val="clear" w:color="auto" w:fill="auto"/>
                <w:lang w:val="en-US" w:eastAsia="zh-CN"/>
              </w:rPr>
              <w:t>26.08</w:t>
            </w:r>
          </w:p>
        </w:tc>
      </w:tr>
      <w:tr w14:paraId="46E1B0AF">
        <w:tblPrEx>
          <w:tblCellMar>
            <w:top w:w="0" w:type="dxa"/>
            <w:left w:w="108" w:type="dxa"/>
            <w:bottom w:w="0" w:type="dxa"/>
            <w:right w:w="108" w:type="dxa"/>
          </w:tblCellMar>
        </w:tblPrEx>
        <w:trPr>
          <w:trHeight w:val="439" w:hRule="atLeast"/>
          <w:jc w:val="center"/>
        </w:trPr>
        <w:tc>
          <w:tcPr>
            <w:tcW w:w="4108" w:type="dxa"/>
            <w:tcBorders>
              <w:top w:val="nil"/>
              <w:left w:val="nil"/>
              <w:bottom w:val="single" w:color="000000" w:sz="8" w:space="0"/>
              <w:right w:val="nil"/>
            </w:tcBorders>
            <w:noWrap w:val="0"/>
            <w:vAlign w:val="center"/>
          </w:tcPr>
          <w:p w14:paraId="00E4169F">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未知</w:t>
            </w:r>
          </w:p>
        </w:tc>
        <w:tc>
          <w:tcPr>
            <w:tcW w:w="1085" w:type="dxa"/>
            <w:tcBorders>
              <w:top w:val="nil"/>
              <w:left w:val="nil"/>
              <w:bottom w:val="single" w:color="000000" w:sz="8" w:space="0"/>
              <w:right w:val="nil"/>
            </w:tcBorders>
            <w:noWrap/>
            <w:vAlign w:val="center"/>
          </w:tcPr>
          <w:p w14:paraId="0D662412">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p>
        </w:tc>
        <w:tc>
          <w:tcPr>
            <w:tcW w:w="1239" w:type="dxa"/>
            <w:gridSpan w:val="2"/>
            <w:tcBorders>
              <w:top w:val="nil"/>
              <w:left w:val="nil"/>
              <w:bottom w:val="single" w:color="000000" w:sz="8" w:space="0"/>
              <w:right w:val="nil"/>
            </w:tcBorders>
            <w:noWrap/>
            <w:vAlign w:val="center"/>
          </w:tcPr>
          <w:p w14:paraId="35A8B378">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w:t>
            </w:r>
          </w:p>
        </w:tc>
        <w:tc>
          <w:tcPr>
            <w:tcW w:w="1828" w:type="dxa"/>
            <w:gridSpan w:val="2"/>
            <w:tcBorders>
              <w:top w:val="nil"/>
              <w:left w:val="nil"/>
              <w:bottom w:val="single" w:color="000000" w:sz="8" w:space="0"/>
              <w:right w:val="nil"/>
            </w:tcBorders>
            <w:noWrap/>
            <w:vAlign w:val="center"/>
          </w:tcPr>
          <w:p w14:paraId="6810EB09">
            <w:pPr>
              <w:keepNext w:val="0"/>
              <w:keepLines w:val="0"/>
              <w:suppressLineNumbers w:val="0"/>
              <w:spacing w:before="0" w:beforeAutospacing="0" w:after="0" w:afterAutospacing="0"/>
              <w:ind w:left="0" w:right="0" w:firstLine="480" w:firstLineChars="20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1.09</w:t>
            </w:r>
          </w:p>
        </w:tc>
      </w:tr>
      <w:bookmarkEnd w:id="0"/>
    </w:tbl>
    <w:p w14:paraId="1A2D1C53">
      <w:pPr>
        <w:rPr>
          <w:rFonts w:ascii="Times New Roman" w:hAnsi="Times New Roman" w:cs="Times New Roman"/>
          <w:u w:val="none"/>
          <w:shd w:val="clear" w:color="auto" w:fill="auto"/>
        </w:rPr>
      </w:pP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Y0ZTk5ZDJjYTQ4MTZjMjVlOTYzYzRkYTVjMWQifQ=="/>
    <w:docVar w:name="KSO_WPS_MARK_KEY" w:val="95c8753d-2771-4c96-abf8-130626f43825"/>
    <w:docVar w:name="NE.Ref{041FCF1D-31FB-48C3-9D36-6AE180D2ABFA}" w:val=" ADDIN NE.Ref.{041FCF1D-31FB-48C3-9D36-6AE180D2ABFA}&lt;Citation&gt;&lt;Group&gt;&lt;References&gt;&lt;Item&gt;&lt;ID&gt;703&lt;/ID&gt;&lt;UID&gt;{69AB8B44-944E-4936-ACA6-F00CA83779FA}&lt;/UID&gt;&lt;Title&gt;Risk Factor and Treatment of Vaginal Intraepithelial Neoplasia After Hysterectomy  for Cervical Intraepithelial Neoplasia&lt;/Title&gt;&lt;Template&gt;Journal Article&lt;/Template&gt;&lt;Star&gt;0&lt;/Star&gt;&lt;Tag&gt;0&lt;/Tag&gt;&lt;Author&gt;Kim, J H; Kim, J; Kim, K; No, J H; Kim, Y B; Suh, D H&lt;/Author&gt;&lt;Year&gt;2022&lt;/Year&gt;&lt;Details&gt;&lt;_accession_num&gt;35238809&lt;/_accession_num&gt;&lt;_author_adr&gt;Department of Obstetrics and Gynecology, CHA Gangnam Medical Center, CHA  University School of Medicine, Seoul, Republic of Korea.; Department of Obstetrics and Gynecology, Ujeongbu Eulji Medical Center, Eulji  University School of Medicine, Gyeonggi-do,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lt;/_author_adr&gt;&lt;_date_display&gt;2022 Apr 1&lt;/_date_display&gt;&lt;_date&gt;2022-04-01&lt;/_date&gt;&lt;_doi&gt;10.1097/LGT.0000000000000664&lt;/_doi&gt;&lt;_isbn&gt;1526-0976 (Electronic); 1089-2591 (Print); 1089-2591 (Linking)&lt;/_isbn&gt;&lt;_issue&gt;2&lt;/_issue&gt;&lt;_journal&gt;J Low Genit Tract Dis&lt;/_journal&gt;&lt;_language&gt;eng&lt;/_language&gt;&lt;_ori_publication&gt;Copyright (c) 2022 The Author(s). Published by Wolters Kluwer Health, Inc. on _x000d__x000a_      behalf of the ASCCP.&lt;/_ori_publication&gt;&lt;_pages&gt;147-151&lt;/_pages&gt;&lt;_subject_headings&gt;*Carcinoma in Situ/pathology; Female; Humans; Hysterectomy; Middle Aged; Neoplasm Recurrence, Local; Retrospective Studies; Risk Factors; *Uterine Cervical Neoplasms/diagnosis; *Vaginal Neoplasms/pathology; *Uterine Cervical Dysplasia/pathology&lt;/_subject_headings&gt;&lt;_tertiary_title&gt;Journal of lower genital tract disease&lt;/_tertiary_title&gt;&lt;_type_work&gt;Journal Article&lt;/_type_work&gt;&lt;_url&gt;http://www.ncbi.nlm.nih.gov/entrez/query.fcgi?cmd=Retrieve&amp;amp;db=pubmed&amp;amp;dopt=Abstract&amp;amp;list_uids=35238809&amp;amp;query_hl=1&lt;/_url&gt;&lt;_volume&gt;26&lt;/_volume&gt;&lt;_created&gt;66000901&lt;/_created&gt;&lt;_modified&gt;66000901&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09E7525C-B977-4682-B604-2B9F9B9B61D1}" w:val=" ADDIN NE.Ref.{09E7525C-B977-4682-B604-2B9F9B9B61D1}&lt;Citation&gt;&lt;Group&gt;&lt;References&gt;&lt;Item&gt;&lt;ID&gt;694&lt;/ID&gt;&lt;UID&gt;{777D503F-536A-4998-AA81-A4FC658F4A80}&lt;/UID&gt;&lt;Title&gt;1 137例男性HPV基因分型感染情况分析&lt;/Title&gt;&lt;Template&gt;Journal Article&lt;/Template&gt;&lt;Star&gt;0&lt;/Star&gt;&lt;Tag&gt;0&lt;/Tag&gt;&lt;Author/&gt;&lt;Year&gt;0&lt;/Year&gt;&lt;Details&gt;&lt;_language&gt;Chinese&lt;/_language&gt;&lt;_created&gt;66000857&lt;/_created&gt;&lt;_modified&gt;66000857&lt;/_modified&gt;&lt;_accessed&gt;66000857&lt;/_accessed&gt;&lt;/Details&gt;&lt;Extra&gt;&lt;DBUID&gt;{C3DDB144-B9A5-4BD3-B74E-FCFC25704025}&lt;/DBUID&gt;&lt;/Extra&gt;&lt;/Item&gt;&lt;/References&gt;&lt;/Group&gt;&lt;/Citation&gt;_x000a_"/>
    <w:docVar w:name="NE.Ref{0A83C24D-8C4A-44B1-8A97-7324FC90C3D2}" w:val=" ADDIN NE.Ref.{0A83C24D-8C4A-44B1-8A97-7324FC90C3D2}&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date_display&gt;2022 Jun&lt;/_date_display&gt;&lt;_date&gt;2022-06-01&lt;/_date&gt;&lt;_doi&gt;10.1111/aogs.14354&lt;/_doi&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_created&gt;65681135&lt;/_created&gt;&lt;_modified&gt;65681135&lt;/_modified&gt;&lt;_db_updated&gt;PubMed&lt;/_db_updated&gt;&lt;_impact_factor&gt;   4.544&lt;/_impact_factor&gt;&lt;_social_category&gt;医学(3)&lt;/_social_category&gt;&lt;_collection_scope&gt;SCIE&lt;/_collection_scope&gt;&lt;/Details&gt;&lt;Extra&gt;&lt;DBUID&gt;{C3DDB144-B9A5-4BD3-B74E-FCFC25704025}&lt;/DBUID&gt;&lt;/Extra&gt;&lt;/Item&gt;&lt;/References&gt;&lt;/Group&gt;&lt;/Citation&gt;_x000a_"/>
    <w:docVar w:name="NE.Ref{16714970-16C3-485E-9D52-F000C69E1137}" w:val=" ADDIN NE.Ref.{16714970-16C3-485E-9D52-F000C69E1137}&lt;Citation&gt;&lt;Group&gt;&lt;References&gt;&lt;Item&gt;&lt;ID&gt;674&lt;/ID&gt;&lt;UID&gt;{69B8594E-5830-4BD7-B677-8AD132B73323}&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09&lt;/_created&gt;&lt;_modified&gt;65681109&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20EFB429-BF4C-4386-AB7F-21CACF05D411}" w:val=" ADDIN NE.Ref.{20EFB429-BF4C-4386-AB7F-21CACF05D411}&lt;Citation&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date_display&gt;2018 Feb 27&lt;/_date_display&gt;&lt;_date&gt;2018-02-27&lt;/_date&gt;&lt;_doi&gt;10.1136/bmj.k499&lt;/_doi&gt;&lt;_isbn&gt;1756-1833 (Electronic); 0959-8138 (Print); 0959-8138 (Linking)&lt;/_isbn&gt;&lt;_journal&gt;BMJ&lt;/_journal&gt;&lt;_language&gt;eng&lt;/_language&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_created&gt;65681131&lt;/_created&gt;&lt;_modified&gt;65681132&lt;/_modified&gt;&lt;_db_updated&gt;PubMed&lt;/_db_updated&gt;&lt;_impact_factor&gt;  93.333&lt;/_impact_factor&gt;&lt;_collection_scope&gt;SCIE&lt;/_collection_scope&gt;&lt;/Details&gt;&lt;Extra&gt;&lt;DBUID&gt;{C3DDB144-B9A5-4BD3-B74E-FCFC25704025}&lt;/DBUID&gt;&lt;/Extra&gt;&lt;/Item&gt;&lt;/References&gt;&lt;/Group&gt;&lt;/Citation&gt;_x000a_"/>
    <w:docVar w:name="NE.Ref{2BDFF393-68FD-473A-9E90-C9FE0B5C3D16}" w:val=" ADDIN NE.Ref.{2BDFF393-68FD-473A-9E90-C9FE0B5C3D16}&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db_provider&gt;北京万方数据股份有限公司&lt;/_db_provider&gt;&lt;_doi&gt;10.3969/j.issn.1009-6604.2022.10.002&lt;/_doi&gt;&lt;_isbn&gt;1009-6604&lt;/_isbn&gt;&lt;_issue&gt;10&lt;/_issue&gt;&lt;_journal&gt;中国微创外科杂志&lt;/_journal&gt;&lt;_keywords&gt;宫颈病变; 冷冻治疗; 人乳头瘤病毒&lt;/_keywords&gt;&lt;_language&gt;chi&lt;/_language&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_created&gt;65681122&lt;/_created&gt;&lt;_modified&gt;65681122&lt;/_modified&gt;&lt;_db_updated&gt;Wanfangdata&lt;/_db_updated&gt;&lt;_collection_scope&gt;CSCD;PKU&lt;/_collection_scope&gt;&lt;/Details&gt;&lt;Extra&gt;&lt;DBUID&gt;{C3DDB144-B9A5-4BD3-B74E-FCFC25704025}&lt;/DBUID&gt;&lt;/Extra&gt;&lt;/Item&gt;&lt;/References&gt;&lt;/Group&gt;&lt;/Citation&gt;_x000a_"/>
    <w:docVar w:name="NE.Ref{33F954A9-6177-4DA6-9FBF-B0FA664BA40A}" w:val=" ADDIN NE.Ref.{33F954A9-6177-4DA6-9FBF-B0FA664BA40A}&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Citation&gt;_x000a_"/>
    <w:docVar w:name="NE.Ref{3B5EA9E0-EDA7-41EE-BFD4-47DE501532EB}" w:val=" ADDIN NE.Ref.{3B5EA9E0-EDA7-41EE-BFD4-47DE501532EB}&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collection_scope&gt;CSCD;PKU&lt;/_collection_scope&gt;&lt;_created&gt;65681122&lt;/_created&gt;&lt;_db_provider&gt;北京万方数据股份有限公司&lt;/_db_provider&gt;&lt;_db_updated&gt;Wanfangdata&lt;/_db_updated&gt;&lt;_doi&gt;10.3969/j.issn.1009-6604.2022.10.002&lt;/_doi&gt;&lt;_isbn&gt;1009-6604&lt;/_isbn&gt;&lt;_issue&gt;10&lt;/_issue&gt;&lt;_journal&gt;中国微创外科杂志&lt;/_journal&gt;&lt;_keywords&gt;宫颈病变; 冷冻治疗; 人乳头瘤病毒&lt;/_keywords&gt;&lt;_language&gt;chi&lt;/_language&gt;&lt;_modified&gt;65681122&lt;/_modified&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Details&gt;&lt;Extra&gt;&lt;DBUID&gt;{C3DDB144-B9A5-4BD3-B74E-FCFC25704025}&lt;/DBUID&gt;&lt;/Extra&gt;&lt;/Item&gt;&lt;/References&gt;&lt;/Group&gt;&lt;/Citation&gt;_x000a_"/>
    <w:docVar w:name="NE.Ref{4B46638B-5302-497F-818A-4F4F9B7A08A3}" w:val=" ADDIN NE.Ref.{4B46638B-5302-497F-818A-4F4F9B7A08A3}&lt;Citation&gt;&lt;Group&gt;&lt;References&gt;&lt;Item&gt;&lt;ID&gt;675&lt;/ID&gt;&lt;UID&gt;{8F76ADE9-184A-4188-9DAA-08A4B1BDE998}&lt;/UID&gt;&lt;Title&gt;Prevalence and distribution of human papillomavirus genotypes in Chinese women  between 1991 and 2016: A systematic review&lt;/Title&gt;&lt;Template&gt;Journal Article&lt;/Template&gt;&lt;Star&gt;0&lt;/Star&gt;&lt;Tag&gt;0&lt;/Tag&gt;&lt;Author&gt;Zhou, H L; Zhang, W; Zhang, C J; Wang, S M; Duan, Y C; Wang, J X; Yang, H; Wang, X Y&lt;/Author&gt;&lt;Year&gt;2018&lt;/Year&gt;&lt;Details&gt;&lt;_accession_num&gt;29477803&lt;/_accession_num&gt;&lt;_author_adr&gt;Key Laboratory Medical Molecular Virology, MoE/MoH, the Institutes of Biomedical  Sciences, Shanghai Medical College, Fudan University, Shanghai, 200032, People&amp;apos;s  Republic of China.; Library of Fudan University, Shanghai, 200032, People&amp;apos;s Republic of China.; Key Laboratory Medical Molecular Virology, MoE/MoH, the Institutes of Biomedical  Sciences, Shanghai Medical College, Fudan University, Shanghai, 200032, People&amp;apos;s  Republic of China.; Laboratory of Molecular Biology, Training Center of Medical Experiments, School  of Basic Medical Sciences, Fudan University, Shanghai, 200032, People&amp;apos;s Republic  of China.; Department of Gynecological Oncology, Shanghai Cancer Center, Fudan University,  Shanghai, 200032, People&amp;apos;s Republic of China.; Key Laboratory Medical Molecular Virology, MoE/MoH, the Institutes of Biomedical  Sciences, Shanghai Medical College, Fudan University, Shanghai, 200032, People&amp;apos;s  Republic of China.; Center for Drug Evaluation, China Food and Drug Administration, Beijing, 100038,  People&amp;apos;s Republic of China. Electronic address: yangh@cde.org.cn.; Key Laboratory Medical Molecular Virology, MoE/MoH, the Institutes of Biomedical  Sciences, Shanghai Medical College, Fudan University, Shanghai, 200032, People&amp;apos;s  Republic of China. Electronic address: xywang@shmu.edu.cn.&lt;/_author_adr&gt;&lt;_date_display&gt;2018 Jun&lt;/_date_display&gt;&lt;_date&gt;2018-06-01&lt;/_date&gt;&lt;_doi&gt;10.1016/j.jinf.2018.02.008&lt;/_doi&gt;&lt;_isbn&gt;1532-2742 (Electronic); 0163-4453 (Linking)&lt;/_isbn&gt;&lt;_issue&gt;6&lt;/_issue&gt;&lt;_journal&gt;J Infect&lt;/_journal&gt;&lt;_keywords&gt;China; Genotype; Human papillomavirus; Prevalence; Systematic review&lt;/_keywords&gt;&lt;_language&gt;eng&lt;/_language&gt;&lt;_ori_publication&gt;Copyright (c) 2018 The British Infection Association. Published by Elsevier Ltd. _x000d__x000a_      All rights reserved.&lt;/_ori_publication&gt;&lt;_pages&gt;522-528&lt;/_pages&gt;&lt;_subject_headings&gt;Adult; Age Factors; China/epidemiology; Early Detection of Cancer/statistics &amp;amp; numerical data; Female; *Genotype; Human papillomavirus 16/genetics; Humans; Middle Aged; Papillomaviridae/*genetics; Papillomavirus Infections/*epidemiology; Papillomavirus Vaccines; Prevalence; Uterine Cervical Neoplasms/*epidemiology/virology; Uterine Cervical Dysplasia/*epidemiology/virology&lt;/_subject_headings&gt;&lt;_tertiary_title&gt;The Journal of infection&lt;/_tertiary_title&gt;&lt;_type_work&gt;Journal Article; Systematic Review&lt;/_type_work&gt;&lt;_url&gt;http://www.ncbi.nlm.nih.gov/entrez/query.fcgi?cmd=Retrieve&amp;amp;db=pubmed&amp;amp;dopt=Abstract&amp;amp;list_uids=29477803&amp;amp;query_hl=1&lt;/_url&gt;&lt;_volume&gt;76&lt;/_volume&gt;&lt;_created&gt;65681112&lt;/_created&gt;&lt;_modified&gt;65681112&lt;/_modified&gt;&lt;_db_updated&gt;PubMed&lt;/_db_updated&gt;&lt;_impact_factor&gt;  38.637&lt;/_impact_factor&gt;&lt;_social_category&gt;医学(2)&lt;/_social_category&gt;&lt;_collection_scope&gt;SCIE&lt;/_collection_scope&gt;&lt;/Details&gt;&lt;Extra&gt;&lt;DBUID&gt;{C3DDB144-B9A5-4BD3-B74E-FCFC25704025}&lt;/DBUID&gt;&lt;/Extra&gt;&lt;/Item&gt;&lt;/References&gt;&lt;/Group&gt;&lt;/Citation&gt;_x000a_"/>
    <w:docVar w:name="NE.Ref{51A664AD-648E-401C-B44C-69AA4B0AA11A}" w:val=" ADDIN NE.Ref.{51A664AD-648E-401C-B44C-69AA4B0AA11A}&lt;Citation&gt;&lt;Group&gt;&lt;References&gt;&lt;Item&gt;&lt;ID&gt;688&lt;/ID&gt;&lt;UID&gt;{4B81349A-2ED0-4699-A38F-7A78BAC1B373}&lt;/UID&gt;&lt;Title&gt;Incomplete excision of cervical precancer as a predictor of treatment failure: a  systematic review and meta-analysis&lt;/Title&gt;&lt;Template&gt;Journal Article&lt;/Template&gt;&lt;Star&gt;0&lt;/Star&gt;&lt;Tag&gt;0&lt;/Tag&gt;&lt;Author&gt;Arbyn, M; Redman, CWE; Verdoodt, F; Kyrgiou, M; Tzafetas, M; Ghaem-Maghami, S; Petry, K U; Leeson, S; Bergeron, C; Nieminen, P; Gondry, J; Reich, O; Moss, E L&lt;/Author&gt;&lt;Year&gt;2017&lt;/Year&gt;&lt;Details&gt;&lt;_accession_num&gt;29126708&lt;/_accession_num&gt;&lt;_author_adr&gt;Unit of Cancer Epidemiology, Belgian Cancer Centre, Scientific Institute of  Public Health, Brussels, Belgium. Electronic address: marc.arbyn@wiv-isp.be.; University Hospitals of North Midlands, Stoke-on-Trent, UK.; Unit of Virus, Lifestyle and Genes, Danish Cancer Society Research Center,  Copenhagen, Denmark.; Division of Reproductive Biology, Department Cancer and Surgery, Imperial  College, London, UK.; Division of Reproductive Biology, Department Cancer and Surgery, Imperial  College, London, UK.; Division of Reproductive Biology, Department Cancer and Surgery, Imperial  College, London, UK.; Department of Gynaecology and Obstetrics, Klinikum Wolfsburg, Wolfsburg, Germany.; Department of Gynaecology and Obstetrics, Betsi Cadwaladr University Health  Board, Bangor, Gwyndd, UK.; Laboratoire Cerba, Cergy, France.; Department of Gynaecology and Obstetrics, Helsinki University Hospital, Helsinki,  Finland.; Service de gynecologie et obstetrique, CHU d&amp;apos;Amiens-Picardie, Amiens, France.; Department of Gynaecology and Obstetrics, Medical University of Graz, Graz,  Austria.; Department of Cancer Studies, University of Leicester, Leicester, UK.&lt;/_author_adr&gt;&lt;_date_display&gt;2017 Dec&lt;/_date_display&gt;&lt;_date&gt;2017-12-01&lt;/_date&gt;&lt;_doi&gt;10.1016/S1470-2045(17)30700-3&lt;/_doi&gt;&lt;_isbn&gt;1474-5488 (Electronic); 1470-2045 (Linking)&lt;/_isbn&gt;&lt;_issue&gt;12&lt;/_issue&gt;&lt;_journal&gt;Lancet Oncol&lt;/_journal&gt;&lt;_language&gt;eng&lt;/_language&gt;&lt;_ori_publication&gt;Copyright (c) 2017 Elsevier Ltd. All rights reserved.&lt;/_ori_publication&gt;&lt;_pages&gt;1665-1679&lt;/_pages&gt;&lt;_subject_headings&gt;Adult; Aged; Female; Humans; *Margins of Excision; Middle Aged; Neoplasm Recurrence, Local/*mortality/pathology; Neoplasm, Residual/mortality/*pathology; Precancerous Conditions/pathology/surgery; Predictive Value of Tests; Prognosis; *Quality Indicators, Health Care; Risk Assessment; Survival Analysis; Treatment Failure; Uterine Cervical Neoplasms/mortality/pathology/*surgery; Uterine Cervical Dysplasia/mortality/pathology/*surgery&lt;/_subject_headings&gt;&lt;_tertiary_title&gt;The Lancet. Oncology&lt;/_tertiary_title&gt;&lt;_type_work&gt;Journal Article; Meta-Analysis; Review; Systematic Review&lt;/_type_work&gt;&lt;_url&gt;http://www.ncbi.nlm.nih.gov/entrez/query.fcgi?cmd=Retrieve&amp;amp;db=pubmed&amp;amp;dopt=Abstract&amp;amp;list_uids=29126708&amp;amp;query_hl=1&lt;/_url&gt;&lt;_volume&gt;18&lt;/_volume&gt;&lt;_created&gt;65681153&lt;/_created&gt;&lt;_modified&gt;65681153&lt;/_modified&gt;&lt;_db_updated&gt;PubMed&lt;/_db_updated&gt;&lt;_impact_factor&gt;  54.433&lt;/_impact_factor&gt;&lt;_social_category&gt;医学(1)&lt;/_social_category&gt;&lt;_collection_scope&gt;SCIE&lt;/_collection_scope&gt;&lt;/Details&gt;&lt;Extra&gt;&lt;DBUID&gt;{C3DDB144-B9A5-4BD3-B74E-FCFC25704025}&lt;/DBUID&gt;&lt;/Extra&gt;&lt;/Item&gt;&lt;/References&gt;&lt;/Group&gt;&lt;/Citation&gt;_x000a_"/>
    <w:docVar w:name="NE.Ref{53E23DEC-55B3-413A-8110-E177AB805026}" w:val=" ADDIN NE.Ref.{53E23DEC-55B3-413A-8110-E177AB805026}&lt;Citation&gt;&lt;Group&gt;&lt;References&gt;&lt;Item&gt;&lt;ID&gt;690&lt;/ID&gt;&lt;UID&gt;{C76A1648-54B3-4681-8238-2610ECDCDB15}&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56&lt;/_created&gt;&lt;_modified&gt;65681156&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5DB54BB7-C648-4C44-8120-33003AA24F30}" w:val=" ADDIN NE.Ref.{5DB54BB7-C648-4C44-8120-33003AA24F30}&lt;Citation&gt;&lt;Group&gt;&lt;References&gt;&lt;Item&gt;&lt;ID&gt;678&lt;/ID&gt;&lt;UID&gt;{C75EF5CE-3F49-4840-9FAC-8E0AB08F8B66}&lt;/UID&gt;&lt;Title&gt;Outpatient treatment of cervical intra-epithelial neoplasia. The CO2 laser versus  cryotherapy, a randomized trial&lt;/Title&gt;&lt;Template&gt;Journal Article&lt;/Template&gt;&lt;Star&gt;0&lt;/Star&gt;&lt;Tag&gt;0&lt;/Tag&gt;&lt;Author&gt;Berget, A; Andreasson, B; Bock, J E; Bostofte, E; Hebjorn, S; Isager-Sally, L; Philipsen, T; Schantz, A; Weber, T&lt;/Author&gt;&lt;Year&gt;1987&lt;/Year&gt;&lt;Details&gt;&lt;_accession_num&gt;3321872&lt;/_accession_num&gt;&lt;_author_adr&gt;Department of Obstetrics and Gynaecology, University Hospital of Gentofte,  Denmark.&lt;/_author_adr&gt;&lt;_collection_scope&gt;SCIE&lt;/_collection_scope&gt;&lt;_created&gt;65681117&lt;/_created&gt;&lt;_date&gt;1987-01-19&lt;/_date&gt;&lt;_date_display&gt;1987&lt;/_date_display&gt;&lt;_db_updated&gt;PubMed&lt;/_db_updated&gt;&lt;_doi&gt;10.3109/00016348709015730&lt;/_doi&gt;&lt;_impact_factor&gt;   4.544&lt;/_impact_factor&gt;&lt;_isbn&gt;0001-6349 (Print); 0001-6349 (Linking)&lt;/_isbn&gt;&lt;_issue&gt;6&lt;/_issue&gt;&lt;_journal&gt;Acta Obstet Gynecol Scand&lt;/_journal&gt;&lt;_language&gt;eng&lt;/_language&gt;&lt;_modified&gt;65681117&lt;/_modified&gt;&lt;_pages&gt;531-6&lt;/_pages&gt;&lt;_social_category&gt;医学(3)&lt;/_social_category&gt;&lt;_subject_headings&gt;Adult; Ambulatory Care; Clinical Trials as Topic; Colposcopy; *Cryosurgery; Female; Follow-Up Studies; Humans; *Laser Therapy; Middle Aged; Postoperative Complications; Prospective Studies; Random Allocation; Uterine Cervical Neoplasms/*surgery; Uterine Hemorrhage/etiology&lt;/_subject_headings&gt;&lt;_tertiary_title&gt;Acta obstetricia et gynecologica Scandinavica&lt;/_tertiary_title&gt;&lt;_type_work&gt;Clinical Trial; Comparative Study; Journal Article; Randomized Controlled Trial&lt;/_type_work&gt;&lt;_url&gt;http://www.ncbi.nlm.nih.gov/entrez/query.fcgi?cmd=Retrieve&amp;amp;db=pubmed&amp;amp;dopt=Abstract&amp;amp;list_uids=3321872&amp;amp;query_hl=1&lt;/_url&gt;&lt;_volume&gt;66&lt;/_volume&gt;&lt;/Details&gt;&lt;Extra&gt;&lt;DBUID&gt;{C3DDB144-B9A5-4BD3-B74E-FCFC25704025}&lt;/DBUID&gt;&lt;/Extra&gt;&lt;/Item&gt;&lt;/References&gt;&lt;/Group&gt;&lt;/Citation&gt;_x000a_"/>
    <w:docVar w:name="NE.Ref{629ADE60-8770-49B8-A915-A5DFFA67FCEE}" w:val=" ADDIN NE.Ref.{629ADE60-8770-49B8-A915-A5DFFA67FCEE}&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997279&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5997280&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Item&gt;&lt;/References&gt;&lt;/Group&gt;&lt;/Citation&gt;_x000a_"/>
    <w:docVar w:name="NE.Ref{6397BB4D-2FA3-4B77-82DA-C282F5932E67}" w:val=" ADDIN NE.Ref.{6397BB4D-2FA3-4B77-82DA-C282F5932E67}&lt;Citation&gt;&lt;Group&gt;&lt;References&gt;&lt;Item&gt;&lt;ID&gt;676&lt;/ID&gt;&lt;UID&gt;{95EF3963-CAD6-4631-9103-A95BAF735590}&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681113&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6000824&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DBUID&gt;{C3DDB144-B9A5-4BD3-B74E-FCFC25704025}&lt;/DBUID&gt;&lt;/Extra&gt;&lt;/Item&gt;&lt;/References&gt;&lt;/Group&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67E9EFEE-F576-42D5-A630-758EE8CF1D26}" w:val=" ADDIN NE.Ref.{67E9EFEE-F576-42D5-A630-758EE8CF1D26}&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date_display&gt;2022&lt;/_date_display&gt;&lt;_date&gt;2022-01-20&lt;/_date&gt;&lt;_doi&gt;10.1155/2022/7955290&lt;/_doi&gt;&lt;_isbn&gt;1687-9589 (Print); 1687-9597 (Electronic); 1687-9597 (Linking)&lt;/_isbn&gt;&lt;_journal&gt;Obstet Gynecol Int&lt;/_journal&gt;&lt;_language&gt;eng&lt;/_language&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_created&gt;65997279&lt;/_created&gt;&lt;_modified&gt;65997280&lt;/_modified&gt;&lt;_db_updated&gt;PubMed&lt;/_db_updated&gt;&lt;_collection_scope&gt;ESCI&lt;/_collection_scope&gt;&lt;/Details&gt;&lt;Extra&gt;&lt;DBUID&gt;{C3DDB144-B9A5-4BD3-B74E-FCFC25704025}&lt;/DBUID&gt;&lt;/Extra&gt;&lt;/Item&gt;&lt;/References&gt;&lt;/Group&gt;&lt;/Citation&gt;_x000a_"/>
    <w:docVar w:name="NE.Ref{689803D0-539B-4B61-9BE3-F38B8A545DE4}" w:val=" ADDIN NE.Ref.{689803D0-539B-4B61-9BE3-F38B8A545DE4}&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6A16F3E1-601C-472F-BC1E-33E81B70DE8A}" w:val=" ADDIN NE.Ref.{6A16F3E1-601C-472F-BC1E-33E81B70DE8A}&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collection_scope&gt;SCIE&lt;/_collection_scope&gt;&lt;_created&gt;65681101&lt;/_created&gt;&lt;_date&gt;2024-05-01&lt;/_date&gt;&lt;_date_display&gt;2024 May-Jun&lt;/_date_display&gt;&lt;_db_updated&gt;PubMed&lt;/_db_updated&gt;&lt;_doi&gt;10.3322/caac.21834&lt;/_doi&gt;&lt;_impact_factor&gt; 286.130&lt;/_impact_factor&gt;&lt;_isbn&gt;1542-4863 (Electronic); 0007-9235 (Linking)&lt;/_isbn&gt;&lt;_issue&gt;3&lt;/_issue&gt;&lt;_journal&gt;CA Cancer J Clin&lt;/_journal&gt;&lt;_keywords&gt;cancer burden; cancer control; epidemiology; incidence; mortality&lt;/_keywords&gt;&lt;_language&gt;eng&lt;/_language&gt;&lt;_modified&gt;66000830&lt;/_modified&gt;&lt;_ori_publication&gt;(c) 2024 The Authors. CA: A Cancer Journal for Clinicians published by Wiley _x000d__x000a_      Periodicals LLC on behalf of American Cancer Society.&lt;/_ori_publication&gt;&lt;_pages&gt;229-263&lt;/_pages&gt;&lt;_social_category&gt;医学(1)&lt;/_social_category&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Details&gt;&lt;Extra&gt;&lt;DBUID&gt;{C3DDB144-B9A5-4BD3-B74E-FCFC25704025}&lt;/DBUID&gt;&lt;/Extra&gt;&lt;/Item&gt;&lt;/References&gt;&lt;/Group&gt;&lt;/Citation&gt;_x000a_"/>
    <w:docVar w:name="NE.Ref{8663D6B3-27D8-420B-9F9A-B82379195214}" w:val=" ADDIN NE.Ref.{8663D6B3-27D8-420B-9F9A-B82379195214}&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8AB3CF2C-8413-4A2D-9FF8-BD5FDFFC898F}" w:val=" ADDIN NE.Ref.{8AB3CF2C-8413-4A2D-9FF8-BD5FDFFC898F}&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Group&gt;&lt;References&gt;&lt;Item&gt;&lt;ID&gt;693&lt;/ID&gt;&lt;UID&gt;{FC21987C-31A8-4C77-8A8D-816C372B24F5}&lt;/UID&gt;&lt;Title&gt;Ki-67、MCM2、p16在宫颈鳞状上皮内病变中表达及意义&lt;/Title&gt;&lt;Template&gt;Journal Article&lt;/Template&gt;&lt;Star&gt;0&lt;/Star&gt;&lt;Tag&gt;0&lt;/Tag&gt;&lt;Author&gt;温俊秀张可心王琦宋慧茹倪璐&lt;/Author&gt;&lt;Year&gt;2025&lt;/Year&gt;&lt;Details&gt;&lt;_language&gt;Chinese&lt;/_language&gt;&lt;_created&gt;66000845&lt;/_created&gt;&lt;_modified&gt;66000846&lt;/_modified&gt;&lt;_accessed&gt;66000846&lt;/_accessed&gt;&lt;_translated_author&gt;Wen, Jun xiu zhang ke&lt;/_translated_author&gt;&lt;/Details&gt;&lt;Extra&gt;&lt;DBUID&gt;{C3DDB144-B9A5-4BD3-B74E-FCFC25704025}&lt;/DBUID&gt;&lt;/Extra&gt;&lt;/Item&gt;&lt;/References&gt;&lt;/Group&gt;&lt;/Citation&gt;_x000a_"/>
    <w:docVar w:name="NE.Ref{8E6DAFFA-CB2E-45AB-B769-72439B7B000B}" w:val=" ADDIN NE.Ref.{8E6DAFFA-CB2E-45AB-B769-72439B7B000B}&lt;Citation&gt;&lt;Group&gt;&lt;References&gt;&lt;Item&gt;&lt;ID&gt;700&lt;/ID&gt;&lt;UID&gt;{C31C6726-DD4B-4478-AC7B-476179AF9143}&lt;/UID&gt;&lt;Title&gt;The Effect of Surgeon Volume on the Outcome of Laser Vaporization: A  Single-Center Retrospective Study&lt;/Title&gt;&lt;Template&gt;Journal Article&lt;/Template&gt;&lt;Star&gt;0&lt;/Star&gt;&lt;Tag&gt;0&lt;/Tag&gt;&lt;Author&gt;Maeda, M; Hisa, T; Matsuzaki, S; Lee, M; Mabuchi, S; Kamiura, S&lt;/Author&gt;&lt;Year&gt;2022&lt;/Year&gt;&lt;Details&gt;&lt;_accession_num&gt;35621692&lt;/_accession_num&gt;&lt;_author_adr&gt;Department of Gynecology, Osaka International Cancer Institute, Osaka 541-8567,  Japan.; Department of Gynecology, Osaka International Cancer Institute, Osaka 541-8567,  Japan.; Department of Gynecology, Osaka International Cancer Institute, Osaka 541-8567,  Japan.; Department of Forensic Medicine, School of Medicine, Kindai University, Osaka  577-8502, Japan.; Department of Gynecology, Osaka International Cancer Institute, Osaka 541-8567,  Japan.; Department of Gynecology, Osaka International Cancer Institute, Osaka 541-8567,  Japan.&lt;/_author_adr&gt;&lt;_date_display&gt;2022 May 23&lt;/_date_display&gt;&lt;_date&gt;2022-05-23&lt;/_date&gt;&lt;_doi&gt;10.3390/curroncol29050302&lt;/_doi&gt;&lt;_isbn&gt;1718-7729 (Electronic); 1198-0052 (Print); 1198-0052 (Linking)&lt;/_isbn&gt;&lt;_issue&gt;5&lt;/_issue&gt;&lt;_journal&gt;Curr Oncol&lt;/_journal&gt;&lt;_keywords&gt;carbon dioxide laser vaporization; cervical intraepithelial neoplasia; prognostic factors; recurrence; surgeon volume&lt;/_keywords&gt;&lt;_language&gt;eng&lt;/_language&gt;&lt;_pages&gt;3770-3779&lt;/_pages&gt;&lt;_subject_headings&gt;Adult; Female; Humans; *Laser Therapy/methods; Middle Aged; Retrospective Studies; *Surgeons; *Uterine Cervical Neoplasms/pathology; *Uterine Cervical Dysplasia/pathology/surgery&lt;/_subject_headings&gt;&lt;_tertiary_title&gt;Current oncology (Toronto, Ont.)&lt;/_tertiary_title&gt;&lt;_type_work&gt;Journal Article&lt;/_type_work&gt;&lt;_url&gt;http://www.ncbi.nlm.nih.gov/entrez/query.fcgi?cmd=Retrieve&amp;amp;db=pubmed&amp;amp;dopt=Abstract&amp;amp;list_uids=35621692&amp;amp;query_hl=1&lt;/_url&gt;&lt;_volume&gt;29&lt;/_volume&gt;&lt;_created&gt;66000886&lt;/_created&gt;&lt;_modified&gt;66000886&lt;/_modified&gt;&lt;_db_updated&gt;PubMed&lt;/_db_updated&gt;&lt;_impact_factor&gt;   3.109&lt;/_impact_factor&gt;&lt;_social_category&gt;医学(3)&lt;/_social_category&gt;&lt;_collection_scope&gt;SCIE&lt;/_collection_scope&gt;&lt;/Details&gt;&lt;Extra&gt;&lt;DBUID&gt;{C3DDB144-B9A5-4BD3-B74E-FCFC25704025}&lt;/DBUID&gt;&lt;/Extra&gt;&lt;/Item&gt;&lt;/References&gt;&lt;/Group&gt;&lt;/Citation&gt;_x000a_"/>
    <w:docVar w:name="NE.Ref{9ED6D174-00F4-4DF2-AC36-8827EFB94F39}" w:val=" ADDIN NE.Ref.{9ED6D174-00F4-4DF2-AC36-8827EFB94F39}&lt;Citation&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9F570956-19E8-4EB8-8F15-DB2142301DCC}" w:val=" ADDIN NE.Ref.{9F570956-19E8-4EB8-8F15-DB2142301DCC}&lt;Citation&gt;&lt;Group&gt;&lt;References&gt;&lt;Item&gt;&lt;ID&gt;682&lt;/ID&gt;&lt;UID&gt;{7D1950A8-0205-4511-892C-2360404E52F0}&lt;/UID&gt;&lt;Title&gt;25岁以下女性宫颈上皮内瘤变2级消退状况研究&lt;/Title&gt;&lt;Template&gt;Journal Article&lt;/Template&gt;&lt;Star&gt;0&lt;/Star&gt;&lt;Tag&gt;0&lt;/Tag&gt;&lt;Author&gt;徐海波; 季进峰; 姚涓&lt;/Author&gt;&lt;Year&gt;2024&lt;/Year&gt;&lt;Details&gt;&lt;_created&gt;65681129&lt;/_created&gt;&lt;_db_provider&gt;北京万方数据股份有限公司&lt;/_db_provider&gt;&lt;_db_updated&gt;Wanfangdata&lt;/_db_updated&gt;&lt;_doi&gt;10.3969/j.issn.1004-3845.2024.03.008&lt;/_doi&gt;&lt;_isbn&gt;1004-3845&lt;/_isbn&gt;&lt;_issue&gt;3&lt;/_issue&gt;&lt;_journal&gt;生殖医学杂志&lt;/_journal&gt;&lt;_keywords&gt;宫颈上皮内瘤变; 消退; 影响因素&lt;/_keywords&gt;&lt;_language&gt;chi&lt;/_language&gt;&lt;_modified&gt;65681129&lt;/_modified&gt;&lt;_pages&gt;322-329&lt;/_pages&gt;&lt;_tertiary_title&gt;Journal of Reproductive Medicine&lt;/_tertiary_title&gt;&lt;_translated_author&gt;Hai-bo, X U; Jin-feng, J I; Juan, YAO&lt;/_translated_author&gt;&lt;_translated_title&gt;Study on regression of cervical intraepithelial neoplasia grade 2 in women under 25 years old&lt;/_translated_title&gt;&lt;_url&gt;https://d.wanfangdata.com.cn/periodical/Ch9QZXJpb2RpY2FsQ0hJTmV3UzIwMjQxMTA1MTcxMzA0Eg9zenl4enoyMDI0MDMwMDgaCDJtbWk2Z3Y2&lt;/_url&gt;&lt;_volume&gt;33&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Group&gt;&lt;References&gt;&lt;Item&gt;&lt;ID&gt;684&lt;/ID&gt;&lt;UID&gt;{98955DA4-2965-4488-BB8A-090C27E94D0C}&lt;/UID&gt;&lt;Title&gt;Regression of cervical high-grade squamous intraepithelial lesions (HSIL/CIN2)  managed expectantly&lt;/Title&gt;&lt;Template&gt;Journal Article&lt;/Template&gt;&lt;Star&gt;0&lt;/Star&gt;&lt;Tag&gt;0&lt;/Tag&gt;&lt;Author&gt;Nourrisson, A; Lepetit, H; Marty, M; Garrigue, I; Brun, J L&lt;/Author&gt;&lt;Year&gt;2022&lt;/Year&gt;&lt;Details&gt;&lt;_accession_num&gt;35842125&lt;/_accession_num&gt;&lt;_author_adr&gt;Department of Gynecology, University Hospital of Bordeaux, Bordeaux, France.; Department of Public Health, University Hospital of Bordeaux, Bordeaux, France.; Department of Pathology, University Hospital of Bordeaux, Bordeaux, France.; Laboratory of Virology, University Hospital of Bordeaux, Bordeaux, France; UMR  5234, Microbiology and Pathogenicity, University of Bordeaux, Bordeaux, France.; Department of Gynecology, University Hospital of Bordeaux, Bordeaux, France; UMR  5234, Microbiology and Pathogenicity, University of Bordeaux, Bordeaux, France.  Electronic address: jean-luc.brun@chu-bordeaux.fr.&lt;/_author_adr&gt;&lt;_created&gt;65681132&lt;/_created&gt;&lt;_date&gt;2022-10-01&lt;/_date&gt;&lt;_date_display&gt;2022 Oct&lt;/_date_display&gt;&lt;_db_updated&gt;PubMed&lt;/_db_updated&gt;&lt;_doi&gt;10.1016/j.jogoh.2022.102442&lt;/_doi&gt;&lt;_impact_factor&gt;   2.156&lt;/_impact_factor&gt;&lt;_isbn&gt;2468-7847 (Electronic); 2468-7847 (Linking)&lt;/_isbn&gt;&lt;_issue&gt;8&lt;/_issue&gt;&lt;_journal&gt;J Gynecol Obstet Hum Reprod&lt;/_journal&gt;&lt;_keywords&gt;CIN2; Colposcopy; Cytology; Follow-up; HPV&lt;/_keywords&gt;&lt;_language&gt;eng&lt;/_language&gt;&lt;_modified&gt;66000834&lt;/_modified&gt;&lt;_ori_publication&gt;Copyright (c) 2022 Elsevier Masson SAS. All rights reserved.&lt;/_ori_publication&gt;&lt;_pages&gt;102442&lt;/_pages&gt;&lt;_subject_headings&gt;Female; Humans; *Papillomavirus Infections/complications/epidemiology; Retrospective Studies; *Squamous Intraepithelial Lesions; *Uterine Cervical Neoplasms/pathology; *Uterine Cervical Dysplasia/pathology&lt;/_subject_headings&gt;&lt;_tertiary_title&gt;Journal of gynecology obstetrics and human reproduction&lt;/_tertiary_title&gt;&lt;_type_work&gt;Journal Article&lt;/_type_work&gt;&lt;_url&gt;http://www.ncbi.nlm.nih.gov/entrez/query.fcgi?cmd=Retrieve&amp;amp;db=pubmed&amp;amp;dopt=Abstract&amp;amp;list_uids=35842125&amp;amp;query_hl=1&lt;/_url&gt;&lt;_volume&gt;51&lt;/_volume&gt;&lt;/Details&gt;&lt;Extra&gt;&lt;DBUID&gt;{C3DDB144-B9A5-4BD3-B74E-FCFC25704025}&lt;/DBUID&gt;&lt;/Extra&gt;&lt;/Item&gt;&lt;/References&gt;&lt;/Group&gt;&lt;/Citation&gt;_x000a_"/>
    <w:docVar w:name="NE.Ref{A2867509-777A-4543-A119-C45637647EBE}" w:val=" ADDIN NE.Ref.{A2867509-777A-4543-A119-C45637647EBE}&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Ref{A919520D-8A9C-44D0-9EF5-24BE74921FA9}" w:val=" ADDIN NE.Ref.{A919520D-8A9C-44D0-9EF5-24BE74921FA9}&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collection_scope&gt;SCIE&lt;/_collection_scope&gt;&lt;_created&gt;65681135&lt;/_created&gt;&lt;_date&gt;2022-06-01&lt;/_date&gt;&lt;_date_display&gt;2022 Jun&lt;/_date_display&gt;&lt;_db_updated&gt;PubMed&lt;/_db_updated&gt;&lt;_doi&gt;10.1111/aogs.14354&lt;/_doi&gt;&lt;_impact_factor&gt;   4.544&lt;/_impact_factor&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modified&gt;65681135&lt;/_modified&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ocial_category&gt;医学(3)&lt;/_social_category&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Details&gt;&lt;Extra&gt;&lt;DBUID&gt;{C3DDB144-B9A5-4BD3-B74E-FCFC25704025}&lt;/DBUID&gt;&lt;/Extra&gt;&lt;/Item&gt;&lt;/References&gt;&lt;/Group&gt;&lt;Group&gt;&lt;References&gt;&lt;Item&gt;&lt;ID&gt;704&lt;/ID&gt;&lt;UID&gt;{482BE8DE-7AB4-49C4-BDB2-6510B91BCFB4}&lt;/UID&gt;&lt;Title&gt;The European Society of Gynaecological Oncology (ESGO), the International Society  for the Study of Vulvovaginal Disease (ISSVD), the European College for the Study  of Vulval Disease (ECSVD), and the European Federation for Colposcopy (EFC)  Consensus Statement on the Management of Vaginal Intraepithelial Neoplasia&lt;/Title&gt;&lt;Template&gt;Journal Article&lt;/Template&gt;&lt;Star&gt;0&lt;/Star&gt;&lt;Tag&gt;0&lt;/Tag&gt;&lt;Author&gt;Kesic, V; Carcopino, X; Preti, M; Vieira-Baptista, P; Bevilacqua, F; Bornstein, J; Chargari, C; Cruickshank, M; Erzeneoglu, E; Gallio, N; Gultekin, M; Heller, D; Joura, E; Kyrgiou, M; Madic, T; Planchamp, F; Regauer, S; Reich, O; Esat, Temiz B; Woelber, L; Zodzika, J; Stockdale, C&lt;/Author&gt;&lt;Year&gt;2023&lt;/Year&gt;&lt;Details&gt;&lt;_accession_num&gt;36951985&lt;/_accession_num&gt;&lt;_author_adr&gt;Medical Faculty, University of Belgrade, Clinic of Obstetrics and Gynecology,  University Clinical Center of Serbia, Belgrade, Serbia.; Department of Obstetrics and Gynaecology, Hopital Nord, APHM, Aix-Marseille  University (AMU), Univ Avignon, CNRS, IRD, IMBE UMR 7263, 13397, Marseille,  France.; Department of Surgical Sciences, University of Torino, Torino, Italy.; Department of Surgical Sciences, University of Torino, Torino, Italy.; Galilee Medical Center and Azrieli Faculty of Medicine, Bar-Ilan, Israel.; Department of Radiation Oncology, Gustave Roussy Cancer Campus, Villejuif,  France.; Aberdeen Centre for Women&amp;apos;s Health Research, University of Aberdeen, Aberdeen,  United Kingdom.; Faculty of Medicine, Department of Obstetrics and Gynecology, Division of  Gynaecological Oncology, Hacettepe University, Ankara, Turkey.; Department of Surgical Sciences, University of Torino, Torino, Italy.; Division of Gynaecological Oncology, Department of Obstetrics and Gynaecology,  Hacettepe University Faculty of Medicine, Ankara, Turkey.; Rutgers New Jersey Medical School, Newark, NJ.; Department of Gynecology and Gynecologic Oncology, Comprehensive Cancer Center,  Medical University of Vienna, Vienna, Austria.; Clinic for Obstetrics and Gynecology, University Clinical Center of Serbia,  Belgrade, Serbia.; Clinical Research Unit, Institut Bergonie, Bordeaux, France.; Diagnostic and Research Institute of Pathology, Medical University of Graz, Graz,  Austria.; Department of Obstetrics and Gynecology, Medical University of Graz, Graz,  Austria.; Department of Gynecology, Hamburg-Eppendorf University Medical Center, Hamburg,  Germany.; Department of Obstetrics and Gynaecology Riga Stradin,s University, Riga, Latvia.; Department of Obstetrics &amp;amp; Gynecology, University of Iowa, Iowa City, IA.&lt;/_author_adr&gt;&lt;_date_display&gt;2023 Apr 1&lt;/_date_display&gt;&lt;_date&gt;2023-04-01&lt;/_date&gt;&lt;_doi&gt;10.1097/LGT.0000000000000732&lt;/_doi&gt;&lt;_isbn&gt;1526-0976 (Electronic); 1089-2591 (Print); 1089-2591 (Linking)&lt;/_isbn&gt;&lt;_issue&gt;2&lt;/_issue&gt;&lt;_journal&gt;J Low Genit Tract Dis&lt;/_journal&gt;&lt;_language&gt;eng&lt;/_language&gt;&lt;_ori_publication&gt;Copyright (c) 2023 ESGO, ISSVD, EFC, ECSVD. Published by Wolters Kluwer Health, _x000d__x000a_      Inc. on behalf of the ASCCP.&lt;/_ori_publication&gt;&lt;_pages&gt;131-145&lt;/_pages&gt;&lt;_subject_headings&gt;Female; Humans; Pregnancy; *Carcinoma in Situ/pathology; Colposcopy; *Papillomavirus Infections; Quality of Life; Retrospective Studies; *Uterine Cervical Dysplasia/pathology/therapy; *Uterine Cervical Neoplasms/pathology/therapy; Vagina/pathology; *Vaginal Neoplasms/pathology/therapy; *Vulvar Diseases/pathology&lt;/_subject_headings&gt;&lt;_tertiary_title&gt;Journal of lower genital tract disease&lt;/_tertiary_title&gt;&lt;_type_work&gt;Journal Article&lt;/_type_work&gt;&lt;_url&gt;http://www.ncbi.nlm.nih.gov/entrez/query.fcgi?cmd=Retrieve&amp;amp;db=pubmed&amp;amp;dopt=Abstract&amp;amp;list_uids=36951985&amp;amp;query_hl=1&lt;/_url&gt;&lt;_volume&gt;27&lt;/_volume&gt;&lt;_created&gt;66000903&lt;/_created&gt;&lt;_modified&gt;66000903&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AE36B2E5-A3B4-4212-AE21-BB48BE8F6ADB}" w:val=" ADDIN NE.Ref.{AE36B2E5-A3B4-4212-AE21-BB48BE8F6ADB}&lt;Citation&gt;&lt;Group&gt;&lt;References&gt;&lt;Item&gt;&lt;ID&gt;689&lt;/ID&gt;&lt;UID&gt;{4C67D703-382C-416D-BE89-4E5834A89061}&lt;/UID&gt;&lt;Title&gt;Methylation testing for the detection of recurrent cervical intraepithelial  neoplasia&lt;/Title&gt;&lt;Template&gt;Journal Article&lt;/Template&gt;&lt;Star&gt;0&lt;/Star&gt;&lt;Tag&gt;0&lt;/Tag&gt;&lt;Author&gt;Dick, S; Heideman, DAM; Mom, C H; Meijer, CJLM; Berkhof, J; Steenbergen, RDM; Bleeker, MCG&lt;/Author&gt;&lt;Year&gt;2023&lt;/Year&gt;&lt;Details&gt;&lt;_accession_num&gt;37539971&lt;/_accession_num&gt;&lt;_author_adr&gt;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Gynecological Oncology, Amsterdam UMC, Location University of  Amsterdam,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Epidemiology and Data Science, Amsterdam UMC, Location Vrije  Universiteit Amsterdam, Amsterdam, The Netherlands.; 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lt;/_author_adr&gt;&lt;_date_display&gt;2023 Dec 15&lt;/_date_display&gt;&lt;_date&gt;2023-12-15&lt;/_date&gt;&lt;_doi&gt;10.1002/ijc.34678&lt;/_doi&gt;&lt;_isbn&gt;1097-0215 (Electronic); 0020-7136 (Linking)&lt;/_isbn&gt;&lt;_issue&gt;12&lt;/_issue&gt;&lt;_journal&gt;Int J Cancer&lt;/_journal&gt;&lt;_keywords&gt;DNA methylation; cervical cancer; high-grade CIN; posttreatment surveillance; recurrent CIN&lt;/_keywords&gt;&lt;_language&gt;eng&lt;/_language&gt;&lt;_ori_publication&gt;(c) 2023 The Authors. International Journal of Cancer published by John Wiley &amp;amp; _x000d__x000a_      Sons Ltd on behalf of UICC.&lt;/_ori_publication&gt;&lt;_pages&gt;2011-2018&lt;/_pages&gt;&lt;_subject_headings&gt;Humans; Female; *Papillomavirus Infections/diagnosis/genetics; *Uterine Cervical Dysplasia/diagnosis; *Uterine Cervical Neoplasms/diagnosis/genetics; Cervix Uteri; DNA Methylation; Papillomaviridae/genetics&lt;/_subject_headings&gt;&lt;_tertiary_title&gt;International journal of cancer&lt;/_tertiary_title&gt;&lt;_type_work&gt;Journal Article; Research Support, Non-U.S. Gov&amp;apos;t&lt;/_type_work&gt;&lt;_url&gt;http://www.ncbi.nlm.nih.gov/entrez/query.fcgi?cmd=Retrieve&amp;amp;db=pubmed&amp;amp;dopt=Abstract&amp;amp;list_uids=37539971&amp;amp;query_hl=1&lt;/_url&gt;&lt;_volume&gt;153&lt;/_volume&gt;&lt;_created&gt;65681155&lt;/_created&gt;&lt;_modified&gt;65681155&lt;/_modified&gt;&lt;_db_updated&gt;PubMed&lt;/_db_updated&gt;&lt;_impact_factor&gt;   7.316&lt;/_impact_factor&gt;&lt;_social_category&gt;医学(1)&lt;/_social_category&gt;&lt;_collection_scope&gt;SCIE&lt;/_collection_scope&gt;&lt;/Details&gt;&lt;Extra&gt;&lt;DBUID&gt;{C3DDB144-B9A5-4BD3-B74E-FCFC25704025}&lt;/DBUID&gt;&lt;/Extra&gt;&lt;/Item&gt;&lt;/References&gt;&lt;/Group&gt;&lt;/Citation&gt;_x000a_"/>
    <w:docVar w:name="NE.Ref{C5618036-7D76-403B-B8E5-A2E62BFF65C5}" w:val=" ADDIN NE.Ref.{C5618036-7D76-403B-B8E5-A2E62BFF65C5}&lt;Citation&gt;&lt;Group&gt;&lt;References&gt;&lt;Item&gt;&lt;ID&gt;695&lt;/ID&gt;&lt;UID&gt;{33FD4D8E-4FF3-411B-93BA-3AB468E486FC}&lt;/UID&gt;&lt;Title&gt;宫颈上皮内瘤变LEEP治疗后转归相关因素分析&lt;/Title&gt;&lt;Template&gt;Journal Article&lt;/Template&gt;&lt;Star&gt;0&lt;/Star&gt;&lt;Tag&gt;0&lt;/Tag&gt;&lt;Author/&gt;&lt;Year&gt;0&lt;/Year&gt;&lt;Details&gt;&lt;_language&gt;Chinese&lt;/_language&gt;&lt;_created&gt;66000866&lt;/_created&gt;&lt;_modified&gt;66000866&lt;/_modified&gt;&lt;/Details&gt;&lt;Extra&gt;&lt;DBUID&gt;{C3DDB144-B9A5-4BD3-B74E-FCFC25704025}&lt;/DBUID&gt;&lt;/Extra&gt;&lt;/Item&gt;&lt;/References&gt;&lt;/Group&gt;&lt;Group&gt;&lt;References&gt;&lt;Item&gt;&lt;ID&gt;699&lt;/ID&gt;&lt;UID&gt;{5FB1B865-3FF3-4A9A-9356-36D5AEDF6225}&lt;/UID&gt;&lt;Title&gt;Impact of colposcopy-guided carbon dioxide laser vaporization therapy on  peripheral cervical intraepithelial neoplasia lesions&lt;/Title&gt;&lt;Template&gt;Journal Article&lt;/Template&gt;&lt;Star&gt;0&lt;/Star&gt;&lt;Tag&gt;0&lt;/Tag&gt;&lt;Author&gt;Mariya, T; Nishikawa, A; Umemoto, M; Ogawa, S; Saito, T&lt;/Author&gt;&lt;Year&gt;2024&lt;/Year&gt;&lt;Details&gt;&lt;_accession_num&gt;39481991&lt;/_accession_num&gt;&lt;_author_adr&gt;Department of Obstetrics and Gynecology, Sapporo Medical University School of  Medicine, Sapporo, Japan.; Department of Obstetrics and Gynecology, Sapporo Medical University School of  Medicine, Sapporo, Japan; Nishikawa Women&amp;apos;s Health Clinic, Sapporo, Japan.  Electronic address: akiranishikawa@me.com.; Department of Obstetrics and Gynecology, Sapporo Medical University School of  Medicine, Sapporo, Japan.; Department of Obstetrics and Gynecology, Sapporo Medical University School of  Medicine, Sapporo, Japan.; Department of Obstetrics and Gynecology, Sapporo Medical University School of  Medicine, Sapporo, Japan.&lt;/_author_adr&gt;&lt;_date_display&gt;2024 Nov&lt;/_date_display&gt;&lt;_date&gt;2024-11-01&lt;/_date&gt;&lt;_doi&gt;10.1016/j.tjog.2024.06.012&lt;/_doi&gt;&lt;_isbn&gt;1875-6263 (Electronic); 1028-4559 (Linking)&lt;/_isbn&gt;&lt;_issue&gt;6&lt;/_issue&gt;&lt;_journal&gt;Taiwan J Obstet Gynecol&lt;/_journal&gt;&lt;_keywords&gt;Cervical intraepithelial neoplasia; Colposcopy-guided laser vaporization; Human papillomavirus&lt;/_keywords&gt;&lt;_language&gt;eng&lt;/_language&gt;&lt;_ori_publication&gt;Copyright (c) 2024. Published by Elsevier B.V.&lt;/_ori_publication&gt;&lt;_pages&gt;846-852&lt;/_pages&gt;&lt;_subject_headings&gt;Humans; Female; *Uterine Cervical Dysplasia/surgery/pathology; Retrospective Studies; *Lasers, Gas/therapeutic use; *Colposcopy/methods; Adult; *Uterine Cervical Neoplasms/surgery/pathology; *Laser Therapy/methods; Middle Aged; Treatment Outcome; Aged; Papillomavirus Infections/complications/surgery&lt;/_subject_headings&gt;&lt;_tertiary_title&gt;Taiwanese journal of obstetrics &amp;amp; gynecology&lt;/_tertiary_title&gt;&lt;_type_work&gt;Journal Article&lt;/_type_work&gt;&lt;_url&gt;http://www.ncbi.nlm.nih.gov/entrez/query.fcgi?cmd=Retrieve&amp;amp;db=pubmed&amp;amp;dopt=Abstract&amp;amp;list_uids=39481991&amp;amp;query_hl=1&lt;/_url&gt;&lt;_volume&gt;63&lt;/_volume&gt;&lt;_created&gt;66000879&lt;/_created&gt;&lt;_modified&gt;66000879&lt;/_modified&gt;&lt;_db_updated&gt;PubMed&lt;/_db_updated&gt;&lt;_impact_factor&gt;   1.944&lt;/_impact_factor&gt;&lt;_social_category&gt;医学(4)&lt;/_social_category&gt;&lt;_collection_scope&gt;SCIE&lt;/_collection_scope&gt;&lt;/Details&gt;&lt;Extra&gt;&lt;DBUID&gt;{C3DDB144-B9A5-4BD3-B74E-FCFC25704025}&lt;/DBUID&gt;&lt;/Extra&gt;&lt;/Item&gt;&lt;/References&gt;&lt;/Group&gt;&lt;/Citation&gt;_x000a_"/>
    <w:docVar w:name="NE.Ref{CDB0DB4A-2C9F-451E-B329-0CA4FF9AFB93}" w:val=" ADDIN NE.Ref.{CDB0DB4A-2C9F-451E-B329-0CA4FF9AFB93}&lt;Citation&gt;&lt;Group&gt;&lt;References&gt;&lt;Item&gt;&lt;ID&gt;698&lt;/ID&gt;&lt;UID&gt;{31A6BC3B-501E-4788-A01C-13C07245CCE7}&lt;/UID&gt;&lt;Title&gt;Treatment methods for cervical intraepithelial neoplasia in England: A  cost-effectiveness analysis&lt;/Title&gt;&lt;Template&gt;Journal Article&lt;/Template&gt;&lt;Star&gt;0&lt;/Star&gt;&lt;Tag&gt;0&lt;/Tag&gt;&lt;Author&gt;Tinelli, M; Athanasiou, A; Veroniki, A A; Efthimiou, O; Kalliala, I; Bowden, S; Paraskevaidi, M; Lyons, D; Martin-Hirsch, P; Bennett, P; Paraskevaidis, E; Salanti, G; Kyrgiou, M; Naci, H&lt;/Author&gt;&lt;Year&gt;2024&lt;/Year&gt;&lt;Details&gt;&lt;_accession_num&gt;38659133&lt;/_accession_num&gt;&lt;_author_adr&gt;Department of Health Policy, The London School of Economics and Political  Science, London, UK.; Care Policy Evaluation Centre, The London School of Economics and Political  Science, London, UK.; Department of Metabolism, Digestion and Reproduction - Surgery and Cancer,  Institute of Reproductive and Developmental Biology (IRDB), Imperial College  London, London, UK.; Institute for Health Policy, Management and Evaluation, University of Toronto,  Toronto, Ontario, Canada.; Knowledge Translation Program, Li Ka Shing Knowledge Institute, St. Michael&amp;apos;s  Hospital, Unity Health Toronto, Toronto, Ontario, Canada.; Institute of Social and Preventive Medicine (ISPM), University of Bern, Bern,  Switzerland.; Institute of Primary Health Care (BIHAM), University of Bern, Bern, Switzerland.; Department of Metabolism, Digestion and Reproduction - Surgery and Cancer,  Institute of Reproductive and Developmental Biology (IRDB), Imperial College  London, London, UK.; Department of Obstetrics and Gynaecology, University of Helsinki and Helsinki  University Hospital, Helsinki, Finland.; Department of Metabolism, Digestion and Reproduction - Surgery and Cancer,  Institute of Reproductive and Developmental Biology (IRDB), Imperial College  London, London, UK.; Department of Obstetrics and Gynaecology, Imperial College Healthcare NHS Trust,  London, UK.; Department of Metabolism, Digestion and Reproduction - Surgery and Cancer,  Institute of Reproductive and Developmental Biology (IRDB), Imperial College  London, London, UK.; Department of Obstetrics and Gynaecology, Imperial College Healthcare NHS Trust,  London, UK.; Department of Gynaecologic Oncology, Lancashire Teaching Hospitals, Preston, UK.; Department of Metabolism, Digestion and Reproduction - Surgery and Cancer,  Institute of Reproductive and Developmental Biology (IRDB), Imperial College  London, London, UK.; Department of Obstetrics and Gynaecology, Imperial College Healthcare NHS Trust,  London, UK.; Department of Obstetrics and Gynaecology, Imperial College Healthcare NHS Trust,  London, UK.; Department of Obstetrics and Gynaecology, University of Ioannina and University  Hospital of Ioannina, Ioannina, Greece.; Institute of Social and Preventive Medicine (ISPM), University of Bern, Bern,  Switzerland.; Department of Metabolism, Digestion and Reproduction - Surgery and Cancer,  Institute of Reproductive and Developmental Biology (IRDB), Imperial College  London, London, UK.; Department of Obstetrics and Gynaecology, Imperial College Healthcare NHS Trust,  London, UK.; Department of Health Policy, The London School of Economics and Political  Science, London, UK.&lt;/_author_adr&gt;&lt;_date_display&gt;2024 Sep&lt;/_date_display&gt;&lt;_date&gt;2024-09-01&lt;/_date&gt;&lt;_doi&gt;10.1111/1471-0528.17829&lt;/_doi&gt;&lt;_isbn&gt;1471-0528 (Electronic); 1470-0328 (Linking)&lt;/_isbn&gt;&lt;_issue&gt;10&lt;/_issue&gt;&lt;_journal&gt;BJOG&lt;/_journal&gt;&lt;_keywords&gt;LLETZ; ablation; conisation; cost-effectiveness; excision; preterm birth; recurrence&lt;/_keywords&gt;&lt;_language&gt;eng&lt;/_language&gt;&lt;_ori_publication&gt;(c) 2024 The Authors. BJOG: An International Journal of Obstetrics and Gynaecology _x000d__x000a_      published by John Wiley &amp;amp; Sons Ltd.&lt;/_ori_publication&gt;&lt;_pages&gt;1411-1419&lt;/_pages&gt;&lt;_subject_headings&gt;Adult; Female; Humans; Middle Aged; Pregnancy; Young Adult; Colposcopy/economics; Conization/economics; *Cost-Effectiveness Analysis; England; Neoplasm Recurrence, Local/economics; Premature Birth/economics/epidemiology; Treatment Outcome; *Uterine Cervical Dysplasia/economics/surgery/therapy; *Uterine Cervical Neoplasms/economics/therapy/surgery&lt;/_subject_headings&gt;&lt;_tertiary_title&gt;BJOG : an international journal of obstetrics and gynaecology&lt;/_tertiary_title&gt;&lt;_type_work&gt;Comparative Study; Journal Article&lt;/_type_work&gt;&lt;_url&gt;http://www.ncbi.nlm.nih.gov/entrez/query.fcgi?cmd=Retrieve&amp;amp;db=pubmed&amp;amp;dopt=Abstract&amp;amp;list_uids=38659133&amp;amp;query_hl=1&lt;/_url&gt;&lt;_volume&gt;131&lt;/_volume&gt;&lt;_created&gt;66000877&lt;/_created&gt;&lt;_modified&gt;66000877&lt;/_modified&gt;&lt;_db_updated&gt;PubMed&lt;/_db_updated&gt;&lt;_impact_factor&gt;   7.331&lt;/_impact_factor&gt;&lt;_social_category&gt;医学(1)&lt;/_social_category&gt;&lt;_collection_scope&gt;SCIE&lt;/_collection_scope&gt;&lt;/Details&gt;&lt;Extra&gt;&lt;DBUID&gt;{C3DDB144-B9A5-4BD3-B74E-FCFC25704025}&lt;/DBUID&gt;&lt;/Extra&gt;&lt;/Item&gt;&lt;/References&gt;&lt;/Group&gt;&lt;/Citation&gt;_x000a_"/>
    <w:docVar w:name="NE.Ref{CF277FBD-6504-4AE5-9A78-F90F0CDC915D}" w:val=" ADDIN NE.Ref.{CF277FBD-6504-4AE5-9A78-F90F0CDC915D}&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D0B74E7E-4C25-4866-94C8-C26AE81D42E8}" w:val=" ADDIN NE.Ref.{D0B74E7E-4C25-4866-94C8-C26AE81D42E8}&lt;Citation&gt;&lt;Group&gt;&lt;References&gt;&lt;Item&gt;&lt;ID&gt;686&lt;/ID&gt;&lt;UID&gt;{DD9EA1C2-3501-4548-9A43-6E3E9924AF87}&lt;/UID&gt;&lt;Title&gt;Thermal Ablation Treatment for Cervical Precancer (Cervical Intraepithelial  Neoplasia Grade 2 or Higher [CIN2+])&lt;/Title&gt;&lt;Template&gt;Journal Article&lt;/Template&gt;&lt;Star&gt;0&lt;/Star&gt;&lt;Tag&gt;0&lt;/Tag&gt;&lt;Author&gt;Soler, M; Masch, R; Saidu, R; Cremer, M&lt;/Author&gt;&lt;Year&gt;2022&lt;/Year&gt;&lt;Details&gt;&lt;_accession_num&gt;35094363&lt;/_accession_num&gt;&lt;_author_adr&gt;Ob/Gyn and Women&amp;apos;s Health Institute, Cleveland Clinic, Cleveland, OH, USA.  solerm@ccf.org.; Basic Health International, Pittsburgh, PA, USA. solerm@ccf.org.; Basic Health International, Pittsburgh, PA, USA.; Department of Obstetrics and Gynaecology, University of Cape Town, Cape Town,  South Africa.; Ob/Gyn and Women&amp;apos;s Health Institute, Cleveland Clinic, Cleveland, OH, USA.; Basic Health International, Pittsburgh, PA, USA.&lt;/_author_adr&gt;&lt;_date_display&gt;2022&lt;/_date_display&gt;&lt;_date&gt;2022-01-20&lt;/_date&gt;&lt;_doi&gt;10.1007/978-1-0716-1811-0_46&lt;/_doi&gt;&lt;_isbn&gt;1940-6029 (Electronic); 1064-3745 (Linking)&lt;/_isbn&gt;&lt;_journal&gt;Methods Mol Biol&lt;/_journal&gt;&lt;_keywords&gt;CIN2+; Cervical intraepithelial neoplasia; Cervical precancer; Cold coagulation; LMIC; Thermal ablation; Thermocoagulation&lt;/_keywords&gt;&lt;_language&gt;eng&lt;/_language&gt;&lt;_ori_publication&gt;(c) 2022. The Author(s), under exclusive license to Springer Science+Business _x000d__x000a_      Media, LLC, part of Springer Nature.&lt;/_ori_publication&gt;&lt;_pages&gt;867-882&lt;/_pages&gt;&lt;_subject_headings&gt;*Ablation Techniques; Female; Hot Temperature; Humans; *Uterine Cervical Neoplasms/surgery; *Uterine Cervical Dysplasia/surgery&lt;/_subject_headings&gt;&lt;_tertiary_title&gt;Methods in molecular biology (Clifton, N.J.)&lt;/_tertiary_title&gt;&lt;_type_work&gt;Journal Article; Review&lt;/_type_work&gt;&lt;_url&gt;http://www.ncbi.nlm.nih.gov/entrez/query.fcgi?cmd=Retrieve&amp;amp;db=pubmed&amp;amp;dopt=Abstract&amp;amp;list_uids=35094363&amp;amp;query_hl=1&lt;/_url&gt;&lt;_volume&gt;2394&lt;/_volume&gt;&lt;_created&gt;65681139&lt;/_created&gt;&lt;_modified&gt;65681140&lt;/_modified&gt;&lt;_db_updated&gt;PubMed&lt;/_db_updated&gt;&lt;/Details&gt;&lt;Extra&gt;&lt;DBUID&gt;{C3DDB144-B9A5-4BD3-B74E-FCFC25704025}&lt;/DBUID&gt;&lt;/Extra&gt;&lt;/Item&gt;&lt;/References&gt;&lt;/Group&gt;&lt;/Citation&gt;_x000a_"/>
    <w:docVar w:name="NE.Ref{DDB83691-BBDF-435B-B384-C719DA7E6B90}" w:val=" ADDIN NE.Ref.{DDB83691-BBDF-435B-B384-C719DA7E6B90}&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E14E3327-2F67-41CE-B46E-D88F236A5D7D}" w:val=" ADDIN NE.Ref.{E14E3327-2F67-41CE-B46E-D88F236A5D7D}&lt;Citation&gt;&lt;Group&gt;&lt;References&gt;&lt;Item&gt;&lt;ID&gt;681&lt;/ID&gt;&lt;UID&gt;{E574CDB8-C478-48EA-BA9C-4C2393ACD636}&lt;/UID&gt;&lt;Title&gt;CIN2+患者高危型HPV感染情况及治疗方法分析&lt;/Title&gt;&lt;Template&gt;Journal Article&lt;/Template&gt;&lt;Star&gt;0&lt;/Star&gt;&lt;Tag&gt;0&lt;/Tag&gt;&lt;Author&gt;李建华; 李迎; 耿文荣; 李莉; 郭克&lt;/Author&gt;&lt;Year&gt;2019&lt;/Year&gt;&lt;Details&gt;&lt;_author_adr&gt;山东省滨州市妇幼保健院; 山东省滨州市滨城区区直机关医院&lt;/_author_adr&gt;&lt;_author_aff&gt;山东省滨州市妇幼保健院; 山东省滨州市滨城区区直机关医院&lt;/_author_aff&gt;&lt;_created&gt;65681123&lt;/_created&gt;&lt;_db_provider&gt;北京万方数据股份有限公司&lt;/_db_provider&gt;&lt;_db_updated&gt;Wanfangdata&lt;/_db_updated&gt;&lt;_doi&gt;10.11877/j.issn.1672-1535.2019.17.11.29&lt;/_doi&gt;&lt;_isbn&gt;1672-1535&lt;/_isbn&gt;&lt;_issue&gt;11&lt;/_issue&gt;&lt;_journal&gt;癌症进展&lt;/_journal&gt;&lt;_keywords&gt;人乳头瘤病毒; 宫颈上皮内瘤变; 宫颈原位癌; 危险因素&lt;/_keywords&gt;&lt;_language&gt;chi&lt;/_language&gt;&lt;_modified&gt;65681123&lt;/_modified&gt;&lt;_pages&gt;1347-1350&lt;/_pages&gt;&lt;_tertiary_title&gt;Oncology Progress&lt;/_tertiary_title&gt;&lt;_translated_author&gt;Jianhua, L I; Ying, L I; Wenrong, GENG; Li, L I; Ke, GUO&lt;/_translated_author&gt;&lt;_translated_title&gt;Analysis of high-risk HPV infection and treatment in patients with CIN2+&lt;/_translated_title&gt;&lt;_url&gt;https://d.wanfangdata.com.cn/periodical/Ch9QZXJpb2RpY2FsQ0hJTmV3UzIwMjQxMTA1MTcxMzA0Eg1hemp6MjAxOTExMDI5Ggh6d3Jxang2ag%3D%3D&lt;/_url&gt;&lt;_volume&gt;17&lt;/_volume&gt;&lt;/Details&gt;&lt;Extra&gt;&lt;DBUID&gt;{C3DDB144-B9A5-4BD3-B74E-FCFC25704025}&lt;/DBUID&gt;&lt;/Extra&gt;&lt;/Item&gt;&lt;/References&gt;&lt;/Group&gt;&lt;/Citation&gt;_x000a_"/>
    <w:docVar w:name="NE.Ref{E1FE5414-29B2-462A-B392-2DF18833A687}" w:val=" ADDIN NE.Ref.{E1FE5414-29B2-462A-B392-2DF18833A687}&lt;Citation&gt;&lt;Group&gt;&lt;References&gt;&lt;Item&gt;&lt;ID&gt;673&lt;/ID&gt;&lt;UID&gt;{D65C9C29-8C0A-42C2-829B-30E15BABCA1A}&lt;/UID&gt;&lt;Title&gt;Estimated Number of Cases of High-Grade Cervical Lesions Diagnosed Among Women -  United States, 2008 and 2016&lt;/Title&gt;&lt;Template&gt;Journal Article&lt;/Template&gt;&lt;Star&gt;0&lt;/Star&gt;&lt;Tag&gt;0&lt;/Tag&gt;&lt;Author&gt;McClung, N M; Gargano, J W; Park, I U; Whitney, E; Abdullah, N; Ehlers, S; Bennett, N M; Scahill, M; Niccolai, L M; Brackney, M; Griffin, M R; Pemmaraju, M; Querec, T D; Cleveland, A A; Unger, E R; Markowitz, L E&lt;/Author&gt;&lt;Year&gt;2019&lt;/Year&gt;&lt;Details&gt;&lt;_accession_num&gt;30998672&lt;/_accession_num&gt;&lt;_date_display&gt;2019 Apr 19&lt;/_date_display&gt;&lt;_date&gt;2019-04-19&lt;/_date&gt;&lt;_doi&gt;10.15585/mmwr.mm6815a1&lt;/_doi&gt;&lt;_isbn&gt;1545-861X (Electronic); 0149-2195 (Print); 0149-2195 (Linking)&lt;/_isbn&gt;&lt;_issue&gt;15&lt;/_issue&gt;&lt;_journal&gt;MMWR Morb Mortal Wkly Rep&lt;/_journal&gt;&lt;_language&gt;eng&lt;/_language&gt;&lt;_pages&gt;337-343&lt;/_pages&gt;&lt;_subject_headings&gt;Adolescent; Adult; Aged; Female; Humans; Middle Aged; Neoplasm Grading; Papillomavirus Vaccines/administration &amp;amp; dosage; United States/epidemiology; Uterine Cervical Neoplasms/*diagnosis/*epidemiology; Young Adult&lt;/_subject_headings&gt;&lt;_tertiary_title&gt;MMWR. Morbidity and mortality weekly report&lt;/_tertiary_title&gt;&lt;_type_work&gt;Journal Article&lt;/_type_work&gt;&lt;_url&gt;http://www.ncbi.nlm.nih.gov/entrez/query.fcgi?cmd=Retrieve&amp;amp;db=pubmed&amp;amp;dopt=Abstract&amp;amp;list_uids=30998672&amp;amp;query_hl=1&lt;/_url&gt;&lt;_volume&gt;68&lt;/_volume&gt;&lt;_created&gt;65681106&lt;/_created&gt;&lt;_modified&gt;65681106&lt;/_modified&gt;&lt;_db_updated&gt;PubMed&lt;/_db_updated&gt;&lt;_impact_factor&gt;  35.301&lt;/_impact_factor&gt;&lt;_social_category&gt;医学(1)&lt;/_social_category&gt;&lt;_collection_scope&gt;SCIE&lt;/_collection_scope&gt;&lt;/Details&gt;&lt;Extra&gt;&lt;DBUID&gt;{C3DDB144-B9A5-4BD3-B74E-FCFC25704025}&lt;/DBUID&gt;&lt;/Extra&gt;&lt;/Item&gt;&lt;/References&gt;&lt;/Group&gt;&lt;/Citation&gt;_x000a_"/>
    <w:docVar w:name="NE.Ref{E5E54D37-A754-4BF7-AAA5-D9484D045B54}" w:val=" ADDIN NE.Ref.{E5E54D37-A754-4BF7-AAA5-D9484D045B54}&lt;Citation&gt;&lt;Group&gt;&lt;References&gt;&lt;Item&gt;&lt;ID&gt;679&lt;/ID&gt;&lt;UID&gt;{83A6DF1E-4870-4A07-91AC-80A9A4ADA088}&lt;/UID&gt;&lt;Title&gt;不同浓度5-氨基酮戊酸光动力疗法治疗CIN1/2伴HR-HPV感染患者的效果比较&lt;/Title&gt;&lt;Template&gt;Journal Article&lt;/Template&gt;&lt;Star&gt;0&lt;/Star&gt;&lt;Tag&gt;0&lt;/Tag&gt;&lt;Author&gt;涂红琴; 吴伟庆; 张婕; 孙文洁; 史可俊&lt;/Author&gt;&lt;Year&gt;2020&lt;/Year&gt;&lt;Details&gt;&lt;_author_adr&gt;江苏省宜兴市人民医院&lt;/_author_adr&gt;&lt;_author_aff&gt;江苏省宜兴市人民医院&lt;/_author_aff&gt;&lt;_created&gt;65681121&lt;/_created&gt;&lt;_db_provider&gt;北京万方数据股份有限公司&lt;/_db_provider&gt;&lt;_db_updated&gt;Wanfangdata&lt;/_db_updated&gt;&lt;_isbn&gt;1673-7210&lt;/_isbn&gt;&lt;_issue&gt;35&lt;/_issue&gt;&lt;_journal&gt;中国医药导报&lt;/_journal&gt;&lt;_keywords&gt;高浓度; 低浓度; 5-氨基酮戊酸; 光动力疗法; 宫颈上皮内瘤变1/2; 高危型人乳头状瘤病毒; 临床疗效&lt;/_keywords&gt;&lt;_language&gt;chi&lt;/_language&gt;&lt;_modified&gt;65681121&lt;/_modified&gt;&lt;_pages&gt;123-126&lt;/_pages&gt;&lt;_tertiary_title&gt;China Medical Herald&lt;/_tertiary_title&gt;&lt;_translated_author&gt;Hongqin, T U; Weiqing, W U; Jie, ZHANG; Wenjie, SUN; Kejun, SHI&lt;/_translated_author&gt;&lt;_translated_title&gt;Comparison on the effect of photodynamic therapy with different concen-trations of 5-aminolevulinic acid in the treatment of CIN1/2 patients with HR-HPV infection&lt;/_translated_title&gt;&lt;_url&gt;https://d.wanfangdata.com.cn/periodical/Ch9QZXJpb2RpY2FsQ0hJTmV3UzIwMjQxMTA1MTcxMzA0Eg95eWN5engyMDIwMzUwMzIaCHB4cTJxbnd1&lt;/_url&gt;&lt;_volume&gt;17&lt;/_volume&gt;&lt;/Details&gt;&lt;Extra&gt;&lt;DBUID&gt;{C3DDB144-B9A5-4BD3-B74E-FCFC25704025}&lt;/DBUID&gt;&lt;/Extra&gt;&lt;/Item&gt;&lt;/References&gt;&lt;/Group&gt;&lt;Group&gt;&lt;References&gt;&lt;Item&gt;&lt;ID&gt;701&lt;/ID&gt;&lt;UID&gt;{F91923A1-41BE-4A03-ACCA-861792253008}&lt;/UID&gt;&lt;Title&gt;A pilot study of repeated 5-aminolevulinic acid photodynamic therapy for cervical  intraepithelial neoplasia by a newly developed intravaginal irradiation system&lt;/Title&gt;&lt;Template&gt;Journal Article&lt;/Template&gt;&lt;Star&gt;0&lt;/Star&gt;&lt;Tag&gt;0&lt;/Tag&gt;&lt;Author&gt;Hisamatsu, Y; Kita, M; Yokoe, T; Butsuhara, Y; Okada, H&lt;/Author&gt;&lt;Year&gt;2023&lt;/Year&gt;&lt;Details&gt;&lt;_accession_num&gt;37327956&lt;/_accession_num&gt;&lt;_author_adr&gt;Obstetrics and Gynecology, Kansai Medical University, Shinmachi 2-5-1, Hirakata,  Osaka, Japan.; Obstetrics and Gynecology, Kansai Medical University, Shinmachi 2-5-1, Hirakata,  Osaka, Japan. Electronic address: kitamas@hirakata.kmu.ac.jp.; Obstetrics and Gynecology, Kansai Medical University, Shinmachi 2-5-1, Hirakata,  Osaka, Japan.; Obstetrics and Gynecology, Kansai Medical University, Shinmachi 2-5-1, Hirakata,  Osaka, Japan.; Obstetrics and Gynecology, Kansai Medical University, Shinmachi 2-5-1, Hirakata,  Osaka, Japan.&lt;/_author_adr&gt;&lt;_date_display&gt;2023 Sep&lt;/_date_display&gt;&lt;_date&gt;2023-09-01&lt;/_date&gt;&lt;_doi&gt;10.1016/j.pdpdt.2023.103655&lt;/_doi&gt;&lt;_isbn&gt;1873-1597 (Electronic); 1572-1000 (Linking)&lt;/_isbn&gt;&lt;_journal&gt;Photodiagnosis Photodyn Ther&lt;/_journal&gt;&lt;_keywords&gt;5-Aminolevulinic acid (5-ALA); Anti-hpv antibody; Photodynamic therapy (PDT); cervical intraepithelial neoplasia (CIN); pneumovaginoscopy&lt;/_keywords&gt;&lt;_language&gt;eng&lt;/_language&gt;&lt;_ori_publication&gt;Copyright (c) 2023 Elsevier B.V. All rights reserved.&lt;/_ori_publication&gt;&lt;_pages&gt;103655&lt;/_pages&gt;&lt;_subject_headings&gt;Female; Humans; Aminolevulinic Acid/therapeutic use; Photosensitizing Agents/therapeutic use; Pilot Projects; *Photochemotherapy/methods; *Papillomavirus Infections/drug therapy; *Uterine Cervical Neoplasms/drug therapy/radiotherapy; *Uterine Cervical Dysplasia&lt;/_subject_headings&gt;&lt;_tertiary_title&gt;Photodiagnosis and photodynamic therapy&lt;/_tertiary_title&gt;&lt;_type_work&gt;Journal Article&lt;/_type_work&gt;&lt;_url&gt;http://www.ncbi.nlm.nih.gov/entrez/query.fcgi?cmd=Retrieve&amp;amp;db=pubmed&amp;amp;dopt=Abstract&amp;amp;list_uids=37327956&amp;amp;query_hl=1&lt;/_url&gt;&lt;_volume&gt;43&lt;/_volume&gt;&lt;_created&gt;66000888&lt;/_created&gt;&lt;_modified&gt;66000888&lt;/_modified&gt;&lt;_db_updated&gt;PubMed&lt;/_db_updated&gt;&lt;_impact_factor&gt;   3.577&lt;/_impact_factor&gt;&lt;_social_category&gt;医学(3)&lt;/_social_category&gt;&lt;_collection_scope&gt;SCIE&lt;/_collection_scope&gt;&lt;/Details&gt;&lt;Extra&gt;&lt;DBUID&gt;{C3DDB144-B9A5-4BD3-B74E-FCFC25704025}&lt;/DBUID&gt;&lt;/Extra&gt;&lt;/Item&gt;&lt;/References&gt;&lt;/Group&gt;&lt;Group&gt;&lt;References&gt;&lt;Item&gt;&lt;ID&gt;705&lt;/ID&gt;&lt;UID&gt;{989354DA-72FE-400F-9412-D99D7EDBCF12}&lt;/UID&gt;&lt;Title&gt;5-aminolevulinic acid-mediated photodynamic therapy effectively ameliorates  HPV-infected cervical intraepithelial neoplasia&lt;/Title&gt;&lt;Template&gt;Journal Article&lt;/Template&gt;&lt;Star&gt;0&lt;/Star&gt;&lt;Tag&gt;0&lt;/Tag&gt;&lt;Author&gt;Chen, Y; Xu, Y; Zhang, Z; Xiong, Z; Wu, D&lt;/Author&gt;&lt;Year&gt;2022&lt;/Year&gt;&lt;Details&gt;&lt;_accession_num&gt;35559391&lt;/_accession_num&gt;&lt;_author_adr&gt;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lt;/_author_adr&gt;&lt;_date_display&gt;2022&lt;/_date_display&gt;&lt;_date&gt;2022-01-20&lt;/_date&gt;&lt;_isbn&gt;1943-8141 (Print); 1943-8141 (Electronic); 1943-8141 (Linking)&lt;/_isbn&gt;&lt;_issue&gt;4&lt;/_issue&gt;&lt;_journal&gt;Am J Transl Res&lt;/_journal&gt;&lt;_keywords&gt;Cervical intraepithelial neoplasia; HPV infection; laser surgery; photodynamic therapy&lt;/_keywords&gt;&lt;_language&gt;eng&lt;/_language&gt;&lt;_ori_publication&gt;AJTR Copyright (c) 2022.&lt;/_ori_publication&gt;&lt;_pages&gt;2443-2451&lt;/_pages&gt;&lt;_tertiary_title&gt;American journal of translational research&lt;/_tertiary_title&gt;&lt;_type_work&gt;Journal Article&lt;/_type_work&gt;&lt;_url&gt;http://www.ncbi.nlm.nih.gov/entrez/query.fcgi?cmd=Retrieve&amp;amp;db=pubmed&amp;amp;dopt=Abstract&amp;amp;list_uids=35559391&amp;amp;query_hl=1&lt;/_url&gt;&lt;_volume&gt;14&lt;/_volume&gt;&lt;_created&gt;66000904&lt;/_created&gt;&lt;_modified&gt;66000904&lt;/_modified&gt;&lt;_db_updated&gt;PubMed&lt;/_db_updated&gt;&lt;_impact_factor&gt;   3.940&lt;/_impact_factor&gt;&lt;_social_category&gt;医学(3)&lt;/_social_category&gt;&lt;_collection_scope&gt;SCIE&lt;/_collection_scope&gt;&lt;/Details&gt;&lt;Extra&gt;&lt;DBUID&gt;{C3DDB144-B9A5-4BD3-B74E-FCFC25704025}&lt;/DBUID&gt;&lt;/Extra&gt;&lt;/Item&gt;&lt;/References&gt;&lt;/Group&gt;&lt;/Citation&gt;_x000a_"/>
    <w:docVar w:name="NE.Ref{EEB7A441-AACD-4BE7-BC90-EE547F9F8051}" w:val=" ADDIN NE.Ref.{EEB7A441-AACD-4BE7-BC90-EE547F9F8051}&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Citation&gt;_x000a_"/>
    <w:docVar w:name="NE.Ref{F0AC909C-E856-407B-ADEF-AB80A7069910}" w:val=" ADDIN NE.Ref.{F0AC909C-E856-407B-ADEF-AB80A7069910}&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6DF7368-A5A3-45BE-9B81-F530954D187F}" w:val=" ADDIN NE.Ref.{F6DF7368-A5A3-45BE-9B81-F530954D187F}&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D32E514-A292-4903-BB58-0BF23BCF764C}" w:val=" ADDIN NE.Ref.{FD32E514-A292-4903-BB58-0BF23BCF764C}&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_docsoft" w:val="MSWord"/>
    <w:docVar w:name="ne_docversion" w:val="NoteExpress 2.0"/>
    <w:docVar w:name="ne_stylename" w:val="中华人民共和国国家标准_GBT_7714-2015"/>
  </w:docVars>
  <w:rsids>
    <w:rsidRoot w:val="00172A27"/>
    <w:rsid w:val="00006E88"/>
    <w:rsid w:val="00012EBE"/>
    <w:rsid w:val="00032122"/>
    <w:rsid w:val="00036B9B"/>
    <w:rsid w:val="000567AE"/>
    <w:rsid w:val="00111D34"/>
    <w:rsid w:val="0013142C"/>
    <w:rsid w:val="00131E87"/>
    <w:rsid w:val="001D1C26"/>
    <w:rsid w:val="00242FCA"/>
    <w:rsid w:val="003B7167"/>
    <w:rsid w:val="003B79BD"/>
    <w:rsid w:val="003C28DE"/>
    <w:rsid w:val="00471FF7"/>
    <w:rsid w:val="0059473D"/>
    <w:rsid w:val="00616D90"/>
    <w:rsid w:val="00785C8D"/>
    <w:rsid w:val="008404B4"/>
    <w:rsid w:val="008E2427"/>
    <w:rsid w:val="00907D2E"/>
    <w:rsid w:val="00971ACA"/>
    <w:rsid w:val="009D6D7C"/>
    <w:rsid w:val="00A67C60"/>
    <w:rsid w:val="00A832F3"/>
    <w:rsid w:val="00B44E9E"/>
    <w:rsid w:val="00B9357B"/>
    <w:rsid w:val="00D520C2"/>
    <w:rsid w:val="00D83F76"/>
    <w:rsid w:val="00D85913"/>
    <w:rsid w:val="00D9006D"/>
    <w:rsid w:val="00DB0AB0"/>
    <w:rsid w:val="00E35836"/>
    <w:rsid w:val="00E427F5"/>
    <w:rsid w:val="00E63A91"/>
    <w:rsid w:val="00FA2D6B"/>
    <w:rsid w:val="00FB1F32"/>
    <w:rsid w:val="01141298"/>
    <w:rsid w:val="012F3F7C"/>
    <w:rsid w:val="023C3262"/>
    <w:rsid w:val="02467A44"/>
    <w:rsid w:val="03463A74"/>
    <w:rsid w:val="03C377D1"/>
    <w:rsid w:val="03E2379C"/>
    <w:rsid w:val="05585870"/>
    <w:rsid w:val="06B62CBE"/>
    <w:rsid w:val="06E2783B"/>
    <w:rsid w:val="072907DC"/>
    <w:rsid w:val="072E6CF9"/>
    <w:rsid w:val="086B5FC0"/>
    <w:rsid w:val="08D0474A"/>
    <w:rsid w:val="0C2C24E0"/>
    <w:rsid w:val="0C5E598A"/>
    <w:rsid w:val="0C7C6692"/>
    <w:rsid w:val="0CCA1AD4"/>
    <w:rsid w:val="0DC42165"/>
    <w:rsid w:val="0EC341CA"/>
    <w:rsid w:val="0F6E1579"/>
    <w:rsid w:val="10B464C1"/>
    <w:rsid w:val="12816881"/>
    <w:rsid w:val="133E43E1"/>
    <w:rsid w:val="14182C9E"/>
    <w:rsid w:val="142179C9"/>
    <w:rsid w:val="150F3CC6"/>
    <w:rsid w:val="163360DA"/>
    <w:rsid w:val="163528A7"/>
    <w:rsid w:val="165556FD"/>
    <w:rsid w:val="1726179A"/>
    <w:rsid w:val="17C96529"/>
    <w:rsid w:val="17CF7530"/>
    <w:rsid w:val="18B0756E"/>
    <w:rsid w:val="19344235"/>
    <w:rsid w:val="199E2C1E"/>
    <w:rsid w:val="19A70FF3"/>
    <w:rsid w:val="1A0C2EC9"/>
    <w:rsid w:val="1A2E1582"/>
    <w:rsid w:val="1A974E89"/>
    <w:rsid w:val="1B77568B"/>
    <w:rsid w:val="1C533D74"/>
    <w:rsid w:val="1D1204CF"/>
    <w:rsid w:val="1D4C0E9C"/>
    <w:rsid w:val="1DA67BA9"/>
    <w:rsid w:val="1DC15D79"/>
    <w:rsid w:val="1E574683"/>
    <w:rsid w:val="1F82346D"/>
    <w:rsid w:val="1FE85F5F"/>
    <w:rsid w:val="21400605"/>
    <w:rsid w:val="216C336E"/>
    <w:rsid w:val="21A67760"/>
    <w:rsid w:val="21DC7625"/>
    <w:rsid w:val="2278547E"/>
    <w:rsid w:val="22A12390"/>
    <w:rsid w:val="25466A86"/>
    <w:rsid w:val="28395DF3"/>
    <w:rsid w:val="28643ED1"/>
    <w:rsid w:val="290F7A56"/>
    <w:rsid w:val="29521EA0"/>
    <w:rsid w:val="295E7506"/>
    <w:rsid w:val="2A3C2F66"/>
    <w:rsid w:val="2B15166D"/>
    <w:rsid w:val="2B6F6EC7"/>
    <w:rsid w:val="2BB60EE7"/>
    <w:rsid w:val="2BC55F5B"/>
    <w:rsid w:val="2CE93653"/>
    <w:rsid w:val="2D183017"/>
    <w:rsid w:val="2E2508C8"/>
    <w:rsid w:val="2E9E7B98"/>
    <w:rsid w:val="31826B34"/>
    <w:rsid w:val="3262544D"/>
    <w:rsid w:val="3445732B"/>
    <w:rsid w:val="36270407"/>
    <w:rsid w:val="37607F59"/>
    <w:rsid w:val="38E76B84"/>
    <w:rsid w:val="3C5F66A3"/>
    <w:rsid w:val="3C7A1ABD"/>
    <w:rsid w:val="3D1811F3"/>
    <w:rsid w:val="3D4225DB"/>
    <w:rsid w:val="3DC7298C"/>
    <w:rsid w:val="3EC139D3"/>
    <w:rsid w:val="3FF67181"/>
    <w:rsid w:val="40095632"/>
    <w:rsid w:val="40267E2E"/>
    <w:rsid w:val="40B80094"/>
    <w:rsid w:val="41875008"/>
    <w:rsid w:val="42576B28"/>
    <w:rsid w:val="442F041A"/>
    <w:rsid w:val="45835E86"/>
    <w:rsid w:val="474B6DA5"/>
    <w:rsid w:val="477B67A8"/>
    <w:rsid w:val="47A47402"/>
    <w:rsid w:val="47B13D4D"/>
    <w:rsid w:val="489E51D5"/>
    <w:rsid w:val="49D95129"/>
    <w:rsid w:val="49FD22C7"/>
    <w:rsid w:val="4BB5041C"/>
    <w:rsid w:val="4BF6262F"/>
    <w:rsid w:val="4CB622D3"/>
    <w:rsid w:val="4CC34DBA"/>
    <w:rsid w:val="4DA92202"/>
    <w:rsid w:val="4F670A7A"/>
    <w:rsid w:val="50224B39"/>
    <w:rsid w:val="50DA4B1A"/>
    <w:rsid w:val="521E283C"/>
    <w:rsid w:val="527B5A0F"/>
    <w:rsid w:val="52AA6235"/>
    <w:rsid w:val="52BD5D69"/>
    <w:rsid w:val="54095E73"/>
    <w:rsid w:val="54511A7F"/>
    <w:rsid w:val="558F7F2F"/>
    <w:rsid w:val="55D65B5E"/>
    <w:rsid w:val="56E43EBF"/>
    <w:rsid w:val="57625FB9"/>
    <w:rsid w:val="583D3C73"/>
    <w:rsid w:val="59F842F5"/>
    <w:rsid w:val="5B101B12"/>
    <w:rsid w:val="5BB63FEC"/>
    <w:rsid w:val="5BF7088B"/>
    <w:rsid w:val="5C3E2C76"/>
    <w:rsid w:val="5D2418A5"/>
    <w:rsid w:val="5D3F7C02"/>
    <w:rsid w:val="5D923041"/>
    <w:rsid w:val="5E565A8E"/>
    <w:rsid w:val="5ECC5D50"/>
    <w:rsid w:val="5FF16423"/>
    <w:rsid w:val="62014733"/>
    <w:rsid w:val="638A1F89"/>
    <w:rsid w:val="642750F0"/>
    <w:rsid w:val="64FD26D6"/>
    <w:rsid w:val="653863F9"/>
    <w:rsid w:val="66C97765"/>
    <w:rsid w:val="696F20FA"/>
    <w:rsid w:val="69CA70F6"/>
    <w:rsid w:val="69EB1780"/>
    <w:rsid w:val="6A867185"/>
    <w:rsid w:val="6B1D1ABA"/>
    <w:rsid w:val="6B7363C8"/>
    <w:rsid w:val="6D4D2752"/>
    <w:rsid w:val="6E743971"/>
    <w:rsid w:val="70B55734"/>
    <w:rsid w:val="735F6D3B"/>
    <w:rsid w:val="744A6B64"/>
    <w:rsid w:val="751D2D0B"/>
    <w:rsid w:val="7717037F"/>
    <w:rsid w:val="7782001E"/>
    <w:rsid w:val="77F54DD9"/>
    <w:rsid w:val="78AC47D1"/>
    <w:rsid w:val="79837D3F"/>
    <w:rsid w:val="7AC0148E"/>
    <w:rsid w:val="7B075CA7"/>
    <w:rsid w:val="7C3C2B15"/>
    <w:rsid w:val="7D3A4085"/>
    <w:rsid w:val="7D787E12"/>
    <w:rsid w:val="7E053C7A"/>
    <w:rsid w:val="7FA23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customStyle="1" w:styleId="7">
    <w:name w:val="font21"/>
    <w:qFormat/>
    <w:uiPriority w:val="0"/>
    <w:rPr>
      <w:rFonts w:ascii="宋体" w:hAnsi="宋体" w:eastAsia="宋体" w:cs="宋体"/>
      <w:b/>
      <w:bCs/>
      <w:color w:val="000000"/>
      <w:sz w:val="50"/>
      <w:szCs w:val="50"/>
      <w:u w:val="none"/>
    </w:rPr>
  </w:style>
  <w:style w:type="character" w:customStyle="1" w:styleId="8">
    <w:name w:val="font41"/>
    <w:qFormat/>
    <w:uiPriority w:val="0"/>
    <w:rPr>
      <w:rFonts w:hint="eastAsia" w:ascii="仿宋" w:hAnsi="仿宋" w:eastAsia="仿宋" w:cs="仿宋"/>
      <w:color w:val="000000"/>
      <w:sz w:val="22"/>
      <w:szCs w:val="22"/>
      <w:u w:val="none"/>
    </w:rPr>
  </w:style>
  <w:style w:type="character" w:customStyle="1" w:styleId="9">
    <w:name w:val="font112"/>
    <w:qFormat/>
    <w:uiPriority w:val="0"/>
    <w:rPr>
      <w:rFonts w:hint="default" w:ascii="Times New Roman" w:hAnsi="Times New Roman" w:cs="Times New Roman"/>
      <w:b/>
      <w:bCs/>
      <w:color w:val="000000"/>
      <w:sz w:val="50"/>
      <w:szCs w:val="50"/>
      <w:u w:val="none"/>
    </w:rPr>
  </w:style>
  <w:style w:type="character" w:customStyle="1" w:styleId="10">
    <w:name w:val="font51"/>
    <w:qFormat/>
    <w:uiPriority w:val="0"/>
    <w:rPr>
      <w:rFonts w:hint="default" w:ascii="Times New Roman" w:hAnsi="Times New Roman" w:cs="Times New Roman"/>
      <w:b/>
      <w:bCs/>
      <w:color w:val="000000"/>
      <w:sz w:val="24"/>
      <w:szCs w:val="24"/>
      <w:u w:val="none"/>
    </w:rPr>
  </w:style>
  <w:style w:type="character" w:customStyle="1" w:styleId="11">
    <w:name w:val="font71"/>
    <w:qFormat/>
    <w:uiPriority w:val="0"/>
    <w:rPr>
      <w:rFonts w:hint="default" w:ascii="Times New Roman" w:hAnsi="Times New Roman" w:cs="Times New Roman"/>
      <w:color w:val="000000"/>
      <w:sz w:val="40"/>
      <w:szCs w:val="40"/>
      <w:u w:val="none"/>
    </w:rPr>
  </w:style>
  <w:style w:type="character" w:customStyle="1" w:styleId="12">
    <w:name w:val="font121"/>
    <w:qFormat/>
    <w:uiPriority w:val="0"/>
    <w:rPr>
      <w:rFonts w:ascii="宋体" w:hAnsi="宋体" w:eastAsia="宋体" w:cs="宋体"/>
      <w:color w:val="000000"/>
      <w:sz w:val="42"/>
      <w:szCs w:val="42"/>
      <w:u w:val="none"/>
    </w:rPr>
  </w:style>
  <w:style w:type="character" w:customStyle="1" w:styleId="13">
    <w:name w:val="font101"/>
    <w:qFormat/>
    <w:uiPriority w:val="0"/>
    <w:rPr>
      <w:rFonts w:hint="default" w:ascii="Times New Roman" w:hAnsi="Times New Roman" w:cs="Times New Roman"/>
      <w:color w:val="000000"/>
      <w:sz w:val="50"/>
      <w:szCs w:val="50"/>
      <w:u w:val="none"/>
    </w:rPr>
  </w:style>
  <w:style w:type="character" w:customStyle="1" w:styleId="14">
    <w:name w:val="font31"/>
    <w:qFormat/>
    <w:uiPriority w:val="0"/>
    <w:rPr>
      <w:rFonts w:hint="eastAsia" w:ascii="宋体" w:hAnsi="宋体" w:eastAsia="宋体" w:cs="宋体"/>
      <w:color w:val="000000"/>
      <w:sz w:val="22"/>
      <w:szCs w:val="22"/>
      <w:u w:val="none"/>
    </w:rPr>
  </w:style>
  <w:style w:type="character" w:customStyle="1" w:styleId="15">
    <w:name w:val="font91"/>
    <w:qFormat/>
    <w:uiPriority w:val="0"/>
    <w:rPr>
      <w:rFonts w:hint="default" w:ascii="Times New Roman" w:hAnsi="Times New Roman" w:cs="Times New Roman"/>
      <w:color w:val="000000"/>
      <w:sz w:val="42"/>
      <w:szCs w:val="42"/>
      <w:u w:val="none"/>
    </w:rPr>
  </w:style>
  <w:style w:type="character" w:customStyle="1" w:styleId="16">
    <w:name w:val="font61"/>
    <w:qFormat/>
    <w:uiPriority w:val="0"/>
    <w:rPr>
      <w:rFonts w:hint="eastAsia" w:ascii="宋体" w:hAnsi="宋体" w:eastAsia="宋体" w:cs="宋体"/>
      <w:color w:val="000000"/>
      <w:sz w:val="42"/>
      <w:szCs w:val="4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15"/>
    <w:qFormat/>
    <w:uiPriority w:val="0"/>
    <w:rPr>
      <w:rFonts w:hint="default" w:ascii="Times New Roman" w:hAnsi="Times New Roman" w:cs="Times New Roman"/>
      <w:color w:val="000000"/>
      <w:sz w:val="40"/>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744</Words>
  <Characters>1313</Characters>
  <Lines>89</Lines>
  <Paragraphs>25</Paragraphs>
  <TotalTime>22</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windy</cp:lastModifiedBy>
  <cp:lastPrinted>2025-08-04T01:19:00Z</cp:lastPrinted>
  <dcterms:modified xsi:type="dcterms:W3CDTF">2025-11-11T07:16:18Z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595BDB5D67454D98A036C1203536C6E4_13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r8>0</vt:r8>
  </property>
  <property fmtid="{D5CDD505-2E9C-101B-9397-08002B2CF9AE}" pid="6" name="hmcheck_taskpanetype">
    <vt:r8>1</vt:r8>
  </property>
</Properties>
</file>