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 w14:paraId="418EC8AD">
      <w:pPr>
        <w:spacing w:line="500" w:lineRule="exact"/>
        <w:ind w:firstLine="420"/>
        <w:jc w:val="center"/>
        <w:rPr>
          <w:rFonts w:hint="eastAsia" w:ascii="宋体" w:hAnsi="宋体" w:eastAsia="宋体" w:cs="宋体"/>
          <w:b/>
          <w:bCs/>
          <w:color w:val="000000"/>
          <w:kern w:val="0"/>
          <w:sz w:val="21"/>
          <w:szCs w:val="21"/>
        </w:rPr>
      </w:pPr>
      <w:r>
        <w:rPr>
          <w:rFonts w:hint="eastAsia" w:ascii="宋体" w:hAnsi="宋体" w:eastAsia="宋体" w:cs="宋体"/>
          <w:b/>
          <w:bCs/>
          <w:color w:val="000000"/>
          <w:sz w:val="21"/>
          <w:szCs w:val="21"/>
          <w:lang w:val="en-US" w:eastAsia="zh-CN"/>
        </w:rPr>
        <w:t xml:space="preserve">           </w:t>
      </w:r>
      <w:r>
        <w:rPr>
          <w:rFonts w:hint="eastAsia" w:ascii="宋体" w:hAnsi="宋体" w:eastAsia="宋体" w:cs="宋体"/>
          <w:b/>
          <w:bCs/>
          <w:color w:val="000000"/>
          <w:sz w:val="21"/>
          <w:szCs w:val="21"/>
        </w:rPr>
        <w:t>表4</w:t>
      </w:r>
      <w:r>
        <w:rPr>
          <w:rFonts w:hint="eastAsia" w:ascii="宋体" w:hAnsi="宋体" w:eastAsia="宋体" w:cs="宋体"/>
          <w:b/>
          <w:bCs/>
          <w:color w:val="000000"/>
          <w:sz w:val="21"/>
          <w:szCs w:val="21"/>
          <w:lang w:val="en-US" w:eastAsia="zh-CN"/>
        </w:rPr>
        <w:t xml:space="preserve">  </w:t>
      </w:r>
      <w:r>
        <w:rPr>
          <w:rFonts w:hint="eastAsia" w:ascii="宋体" w:hAnsi="宋体" w:eastAsia="宋体" w:cs="宋体"/>
          <w:b/>
          <w:bCs/>
          <w:color w:val="000000"/>
          <w:sz w:val="21"/>
          <w:szCs w:val="21"/>
        </w:rPr>
        <w:t xml:space="preserve"> 两组口腔健康及功能指标比较</w:t>
      </w:r>
      <w:r>
        <w:rPr>
          <w:rFonts w:hint="eastAsia" w:ascii="宋体" w:hAnsi="宋体" w:eastAsia="宋体" w:cs="宋体"/>
          <w:b/>
          <w:bCs/>
          <w:color w:val="000000"/>
          <w:sz w:val="21"/>
          <w:szCs w:val="21"/>
          <w:lang w:val="en-US" w:eastAsia="zh-CN"/>
        </w:rPr>
        <w:t xml:space="preserve">     </w:t>
      </w:r>
      <w:r>
        <w:rPr>
          <w:rFonts w:hint="eastAsia" w:ascii="宋体" w:hAnsi="宋体" w:eastAsia="宋体" w:cs="宋体"/>
          <w:b/>
          <w:bCs/>
          <w:color w:val="000000"/>
          <w:kern w:val="0"/>
          <w:sz w:val="21"/>
          <w:szCs w:val="21"/>
        </w:rPr>
        <w:t>（</w:t>
      </w:r>
      <w:r>
        <w:rPr>
          <w:rFonts w:hint="eastAsia" w:ascii="宋体" w:hAnsi="宋体" w:eastAsia="宋体" w:cs="宋体"/>
          <w:b/>
          <w:bCs/>
          <w:color w:val="000000"/>
          <w:position w:val="-6"/>
          <w:sz w:val="21"/>
          <w:szCs w:val="21"/>
        </w:rPr>
        <w:object>
          <v:shape id="_x0000_i1026" o:spt="75" type="#_x0000_t75" style="height:14.5pt;width:26.35pt;" o:ole="t" filled="f" o:preferrelative="t" stroked="f" coordsize="21600,21600">
            <v:path/>
            <v:fill on="f" focussize="0,0"/>
            <v:stroke on="f"/>
            <v:imagedata r:id="rId11" o:title=""/>
            <o:lock v:ext="edit" aspectratio="t"/>
            <w10:wrap type="none"/>
            <w10:anchorlock/>
          </v:shape>
          <o:OLEObject Type="Embed" ProgID="Equation.3" ShapeID="_x0000_i1026" DrawAspect="Content" ObjectID="_1468075725" r:id="rId10">
            <o:LockedField>false</o:LockedField>
          </o:OLEObject>
        </w:object>
      </w:r>
      <w:r>
        <w:rPr>
          <w:rFonts w:hint="eastAsia" w:ascii="宋体" w:hAnsi="宋体" w:eastAsia="宋体" w:cs="宋体"/>
          <w:b/>
          <w:bCs/>
          <w:color w:val="000000"/>
          <w:kern w:val="0"/>
          <w:sz w:val="21"/>
          <w:szCs w:val="21"/>
          <w:lang w:val="en-US" w:eastAsia="zh-CN"/>
        </w:rPr>
        <w:t>,</w:t>
      </w:r>
      <w:r>
        <w:rPr>
          <w:rFonts w:hint="eastAsia" w:ascii="宋体" w:hAnsi="宋体" w:eastAsia="宋体" w:cs="宋体"/>
          <w:b/>
          <w:bCs/>
          <w:i/>
          <w:iCs/>
          <w:color w:val="000000"/>
          <w:kern w:val="0"/>
          <w:sz w:val="21"/>
          <w:szCs w:val="21"/>
          <w:lang w:val="en-US" w:eastAsia="zh-CN"/>
        </w:rPr>
        <w:t>n</w:t>
      </w:r>
      <w:r>
        <w:rPr>
          <w:rFonts w:hint="eastAsia" w:ascii="宋体" w:hAnsi="宋体" w:eastAsia="宋体" w:cs="宋体"/>
          <w:b/>
          <w:bCs/>
          <w:color w:val="000000"/>
          <w:kern w:val="0"/>
          <w:sz w:val="21"/>
          <w:szCs w:val="21"/>
          <w:lang w:val="en-US" w:eastAsia="zh-CN"/>
        </w:rPr>
        <w:t>=42</w:t>
      </w:r>
      <w:r>
        <w:rPr>
          <w:rFonts w:hint="eastAsia" w:ascii="宋体" w:hAnsi="宋体" w:eastAsia="宋体" w:cs="宋体"/>
          <w:b/>
          <w:bCs/>
          <w:color w:val="000000"/>
          <w:kern w:val="0"/>
          <w:sz w:val="21"/>
          <w:szCs w:val="21"/>
        </w:rPr>
        <w:t>）</w:t>
      </w:r>
    </w:p>
    <w:tbl>
      <w:tblPr>
        <w:tblStyle w:val="8"/>
        <w:tblW w:w="1111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8"/>
        <w:gridCol w:w="1192"/>
        <w:gridCol w:w="1184"/>
        <w:gridCol w:w="1192"/>
        <w:gridCol w:w="1256"/>
        <w:gridCol w:w="1400"/>
        <w:gridCol w:w="1384"/>
        <w:gridCol w:w="1384"/>
        <w:gridCol w:w="1272"/>
      </w:tblGrid>
      <w:tr w14:paraId="08AE2C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48" w:type="dxa"/>
            <w:vMerge w:val="restart"/>
            <w:tcBorders>
              <w:top w:val="single" w:color="000000" w:sz="12" w:space="0"/>
              <w:left w:val="nil"/>
              <w:bottom w:val="nil"/>
              <w:right w:val="nil"/>
            </w:tcBorders>
            <w:noWrap w:val="0"/>
            <w:vAlign w:val="top"/>
          </w:tcPr>
          <w:p w14:paraId="0C4CE154">
            <w:pPr>
              <w:spacing w:line="50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bookmarkStart w:id="0" w:name="_GoBack"/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组别</w:t>
            </w:r>
          </w:p>
        </w:tc>
        <w:tc>
          <w:tcPr>
            <w:tcW w:w="2376" w:type="dxa"/>
            <w:gridSpan w:val="2"/>
            <w:tcBorders>
              <w:top w:val="single" w:color="000000" w:sz="12" w:space="0"/>
              <w:left w:val="nil"/>
              <w:bottom w:val="nil"/>
              <w:right w:val="nil"/>
            </w:tcBorders>
            <w:noWrap w:val="0"/>
            <w:vAlign w:val="top"/>
          </w:tcPr>
          <w:p w14:paraId="0B6CE64C">
            <w:pPr>
              <w:spacing w:line="50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SBI/分</w:t>
            </w:r>
          </w:p>
        </w:tc>
        <w:tc>
          <w:tcPr>
            <w:tcW w:w="2448" w:type="dxa"/>
            <w:gridSpan w:val="2"/>
            <w:tcBorders>
              <w:top w:val="single" w:color="000000" w:sz="12" w:space="0"/>
              <w:left w:val="nil"/>
              <w:bottom w:val="nil"/>
              <w:right w:val="nil"/>
            </w:tcBorders>
            <w:noWrap w:val="0"/>
            <w:vAlign w:val="top"/>
          </w:tcPr>
          <w:p w14:paraId="71BFF652">
            <w:pPr>
              <w:spacing w:line="50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GI/分</w:t>
            </w:r>
          </w:p>
        </w:tc>
        <w:tc>
          <w:tcPr>
            <w:tcW w:w="2784" w:type="dxa"/>
            <w:gridSpan w:val="2"/>
            <w:tcBorders>
              <w:top w:val="single" w:color="000000" w:sz="12" w:space="0"/>
              <w:left w:val="nil"/>
              <w:bottom w:val="nil"/>
              <w:right w:val="nil"/>
            </w:tcBorders>
            <w:noWrap w:val="0"/>
            <w:vAlign w:val="top"/>
          </w:tcPr>
          <w:p w14:paraId="3DA88792">
            <w:pPr>
              <w:spacing w:line="50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咬合力/Ibs</w:t>
            </w:r>
          </w:p>
        </w:tc>
        <w:tc>
          <w:tcPr>
            <w:tcW w:w="2656" w:type="dxa"/>
            <w:gridSpan w:val="2"/>
            <w:tcBorders>
              <w:top w:val="single" w:color="000000" w:sz="12" w:space="0"/>
              <w:left w:val="nil"/>
              <w:bottom w:val="nil"/>
              <w:right w:val="nil"/>
            </w:tcBorders>
            <w:noWrap w:val="0"/>
            <w:vAlign w:val="top"/>
          </w:tcPr>
          <w:p w14:paraId="1B690E6C">
            <w:pPr>
              <w:spacing w:line="50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咀嚼效率/%</w:t>
            </w:r>
          </w:p>
        </w:tc>
      </w:tr>
      <w:tr w14:paraId="7FCD21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48" w:type="dxa"/>
            <w:vMerge w:val="continue"/>
            <w:tcBorders>
              <w:top w:val="nil"/>
              <w:left w:val="nil"/>
              <w:bottom w:val="single" w:color="000000" w:sz="4" w:space="0"/>
              <w:right w:val="nil"/>
            </w:tcBorders>
            <w:noWrap w:val="0"/>
            <w:vAlign w:val="top"/>
          </w:tcPr>
          <w:p w14:paraId="417CDB5D">
            <w:pPr>
              <w:spacing w:line="50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92" w:type="dxa"/>
            <w:tcBorders>
              <w:top w:val="nil"/>
              <w:left w:val="nil"/>
              <w:bottom w:val="single" w:color="000000" w:sz="4" w:space="0"/>
              <w:right w:val="nil"/>
            </w:tcBorders>
            <w:noWrap w:val="0"/>
            <w:vAlign w:val="top"/>
          </w:tcPr>
          <w:p w14:paraId="61A0C626">
            <w:pPr>
              <w:spacing w:line="50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治疗前</w:t>
            </w:r>
          </w:p>
        </w:tc>
        <w:tc>
          <w:tcPr>
            <w:tcW w:w="1184" w:type="dxa"/>
            <w:tcBorders>
              <w:top w:val="nil"/>
              <w:left w:val="nil"/>
              <w:bottom w:val="single" w:color="000000" w:sz="4" w:space="0"/>
              <w:right w:val="nil"/>
            </w:tcBorders>
            <w:noWrap w:val="0"/>
            <w:vAlign w:val="top"/>
          </w:tcPr>
          <w:p w14:paraId="47F8E331">
            <w:pPr>
              <w:spacing w:line="50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治疗后</w:t>
            </w:r>
          </w:p>
        </w:tc>
        <w:tc>
          <w:tcPr>
            <w:tcW w:w="1192" w:type="dxa"/>
            <w:tcBorders>
              <w:top w:val="nil"/>
              <w:left w:val="nil"/>
              <w:bottom w:val="single" w:color="000000" w:sz="4" w:space="0"/>
              <w:right w:val="nil"/>
            </w:tcBorders>
            <w:noWrap w:val="0"/>
            <w:vAlign w:val="top"/>
          </w:tcPr>
          <w:p w14:paraId="4C571E9A">
            <w:pPr>
              <w:spacing w:line="50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治疗前</w:t>
            </w:r>
          </w:p>
        </w:tc>
        <w:tc>
          <w:tcPr>
            <w:tcW w:w="1256" w:type="dxa"/>
            <w:tcBorders>
              <w:top w:val="nil"/>
              <w:left w:val="nil"/>
              <w:bottom w:val="single" w:color="000000" w:sz="4" w:space="0"/>
              <w:right w:val="nil"/>
            </w:tcBorders>
            <w:noWrap w:val="0"/>
            <w:vAlign w:val="top"/>
          </w:tcPr>
          <w:p w14:paraId="0B00B72D">
            <w:pPr>
              <w:spacing w:line="50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治疗后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000000" w:sz="4" w:space="0"/>
              <w:right w:val="nil"/>
            </w:tcBorders>
            <w:noWrap w:val="0"/>
            <w:vAlign w:val="top"/>
          </w:tcPr>
          <w:p w14:paraId="52077E11">
            <w:pPr>
              <w:spacing w:line="50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治疗前</w:t>
            </w:r>
          </w:p>
        </w:tc>
        <w:tc>
          <w:tcPr>
            <w:tcW w:w="1384" w:type="dxa"/>
            <w:tcBorders>
              <w:top w:val="nil"/>
              <w:left w:val="nil"/>
              <w:bottom w:val="single" w:color="000000" w:sz="4" w:space="0"/>
              <w:right w:val="nil"/>
            </w:tcBorders>
            <w:noWrap w:val="0"/>
            <w:vAlign w:val="top"/>
          </w:tcPr>
          <w:p w14:paraId="56EBCF30">
            <w:pPr>
              <w:spacing w:line="50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治疗后</w:t>
            </w:r>
          </w:p>
        </w:tc>
        <w:tc>
          <w:tcPr>
            <w:tcW w:w="1384" w:type="dxa"/>
            <w:tcBorders>
              <w:top w:val="nil"/>
              <w:left w:val="nil"/>
              <w:bottom w:val="single" w:color="000000" w:sz="4" w:space="0"/>
              <w:right w:val="nil"/>
            </w:tcBorders>
            <w:noWrap w:val="0"/>
            <w:vAlign w:val="top"/>
          </w:tcPr>
          <w:p w14:paraId="16E217B7">
            <w:pPr>
              <w:spacing w:line="50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治疗前</w:t>
            </w:r>
          </w:p>
        </w:tc>
        <w:tc>
          <w:tcPr>
            <w:tcW w:w="1272" w:type="dxa"/>
            <w:tcBorders>
              <w:top w:val="nil"/>
              <w:left w:val="nil"/>
              <w:bottom w:val="single" w:color="000000" w:sz="4" w:space="0"/>
              <w:right w:val="nil"/>
            </w:tcBorders>
            <w:noWrap w:val="0"/>
            <w:vAlign w:val="top"/>
          </w:tcPr>
          <w:p w14:paraId="4E90AFE1">
            <w:pPr>
              <w:spacing w:line="50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治疗后</w:t>
            </w:r>
          </w:p>
        </w:tc>
      </w:tr>
      <w:tr w14:paraId="36973F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48" w:type="dxa"/>
            <w:tcBorders>
              <w:top w:val="single" w:color="000000" w:sz="4" w:space="0"/>
              <w:left w:val="nil"/>
              <w:bottom w:val="nil"/>
              <w:right w:val="nil"/>
            </w:tcBorders>
            <w:noWrap w:val="0"/>
            <w:vAlign w:val="top"/>
          </w:tcPr>
          <w:p w14:paraId="3A55268F">
            <w:pPr>
              <w:spacing w:line="50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观察组</w:t>
            </w:r>
          </w:p>
        </w:tc>
        <w:tc>
          <w:tcPr>
            <w:tcW w:w="1192" w:type="dxa"/>
            <w:tcBorders>
              <w:top w:val="single" w:color="000000" w:sz="4" w:space="0"/>
              <w:left w:val="nil"/>
              <w:bottom w:val="nil"/>
              <w:right w:val="nil"/>
            </w:tcBorders>
            <w:noWrap w:val="0"/>
            <w:vAlign w:val="top"/>
          </w:tcPr>
          <w:p w14:paraId="1783E2B7">
            <w:pPr>
              <w:spacing w:line="50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4.21±0.85</w:t>
            </w:r>
          </w:p>
        </w:tc>
        <w:tc>
          <w:tcPr>
            <w:tcW w:w="1184" w:type="dxa"/>
            <w:tcBorders>
              <w:top w:val="single" w:color="000000" w:sz="4" w:space="0"/>
              <w:left w:val="nil"/>
              <w:bottom w:val="nil"/>
              <w:right w:val="nil"/>
            </w:tcBorders>
            <w:noWrap w:val="0"/>
            <w:vAlign w:val="top"/>
          </w:tcPr>
          <w:p w14:paraId="41D5CA5D">
            <w:pPr>
              <w:spacing w:line="50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0.85±0.52</w:t>
            </w: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vertAlign w:val="superscript"/>
              </w:rPr>
              <w:t>*</w:t>
            </w:r>
          </w:p>
        </w:tc>
        <w:tc>
          <w:tcPr>
            <w:tcW w:w="1192" w:type="dxa"/>
            <w:tcBorders>
              <w:top w:val="single" w:color="000000" w:sz="4" w:space="0"/>
              <w:left w:val="nil"/>
              <w:bottom w:val="nil"/>
              <w:right w:val="nil"/>
            </w:tcBorders>
            <w:noWrap w:val="0"/>
            <w:vAlign w:val="top"/>
          </w:tcPr>
          <w:p w14:paraId="40A087B3">
            <w:pPr>
              <w:spacing w:line="50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shd w:val="clear" w:color="auto" w:fill="FFFFFF"/>
                <w:lang w:val="en-US" w:eastAsia="zh-CN"/>
              </w:rPr>
              <w:t>2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shd w:val="clear" w:color="auto" w:fill="FFFFFF"/>
              </w:rPr>
              <w:t>.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35±0.52</w:t>
            </w:r>
          </w:p>
        </w:tc>
        <w:tc>
          <w:tcPr>
            <w:tcW w:w="1256" w:type="dxa"/>
            <w:tcBorders>
              <w:top w:val="single" w:color="000000" w:sz="4" w:space="0"/>
              <w:left w:val="nil"/>
              <w:bottom w:val="nil"/>
              <w:right w:val="nil"/>
            </w:tcBorders>
            <w:noWrap w:val="0"/>
            <w:vAlign w:val="top"/>
          </w:tcPr>
          <w:p w14:paraId="79D7F151">
            <w:pPr>
              <w:spacing w:line="50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0.85±0.27</w:t>
            </w: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vertAlign w:val="superscript"/>
              </w:rPr>
              <w:t>*</w:t>
            </w:r>
          </w:p>
        </w:tc>
        <w:tc>
          <w:tcPr>
            <w:tcW w:w="1400" w:type="dxa"/>
            <w:tcBorders>
              <w:top w:val="single" w:color="000000" w:sz="4" w:space="0"/>
              <w:left w:val="nil"/>
              <w:bottom w:val="nil"/>
              <w:right w:val="nil"/>
            </w:tcBorders>
            <w:noWrap w:val="0"/>
            <w:vAlign w:val="top"/>
          </w:tcPr>
          <w:p w14:paraId="2A9D1B09">
            <w:pPr>
              <w:spacing w:line="50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8.25±5.69</w:t>
            </w:r>
          </w:p>
        </w:tc>
        <w:tc>
          <w:tcPr>
            <w:tcW w:w="1384" w:type="dxa"/>
            <w:tcBorders>
              <w:top w:val="single" w:color="000000" w:sz="4" w:space="0"/>
              <w:left w:val="nil"/>
              <w:bottom w:val="nil"/>
              <w:right w:val="nil"/>
            </w:tcBorders>
            <w:noWrap w:val="0"/>
            <w:vAlign w:val="top"/>
          </w:tcPr>
          <w:p w14:paraId="0C29129C">
            <w:pPr>
              <w:spacing w:line="50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95.25±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2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.98</w:t>
            </w: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vertAlign w:val="superscript"/>
              </w:rPr>
              <w:t>*</w:t>
            </w:r>
          </w:p>
        </w:tc>
        <w:tc>
          <w:tcPr>
            <w:tcW w:w="1384" w:type="dxa"/>
            <w:tcBorders>
              <w:top w:val="single" w:color="000000" w:sz="4" w:space="0"/>
              <w:left w:val="nil"/>
              <w:bottom w:val="nil"/>
              <w:right w:val="nil"/>
            </w:tcBorders>
            <w:noWrap w:val="0"/>
            <w:vAlign w:val="top"/>
          </w:tcPr>
          <w:p w14:paraId="4ADA163E">
            <w:pPr>
              <w:spacing w:line="50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76.64±4.51</w:t>
            </w:r>
          </w:p>
        </w:tc>
        <w:tc>
          <w:tcPr>
            <w:tcW w:w="1272" w:type="dxa"/>
            <w:tcBorders>
              <w:top w:val="single" w:color="000000" w:sz="4" w:space="0"/>
              <w:left w:val="nil"/>
              <w:bottom w:val="nil"/>
              <w:right w:val="nil"/>
            </w:tcBorders>
            <w:noWrap w:val="0"/>
            <w:vAlign w:val="top"/>
          </w:tcPr>
          <w:p w14:paraId="400E75FB">
            <w:pPr>
              <w:spacing w:line="50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85.36±5.82</w:t>
            </w: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vertAlign w:val="superscript"/>
              </w:rPr>
              <w:t>*</w:t>
            </w:r>
          </w:p>
        </w:tc>
      </w:tr>
      <w:tr w14:paraId="32AF3B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48" w:type="dxa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 w14:paraId="073C0047">
            <w:pPr>
              <w:spacing w:line="50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对照组</w:t>
            </w:r>
          </w:p>
        </w:tc>
        <w:tc>
          <w:tcPr>
            <w:tcW w:w="1192" w:type="dxa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 w14:paraId="6C3ECDD9">
            <w:pPr>
              <w:spacing w:line="50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4.28±0.82</w:t>
            </w:r>
          </w:p>
        </w:tc>
        <w:tc>
          <w:tcPr>
            <w:tcW w:w="1184" w:type="dxa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 w14:paraId="1394E090">
            <w:pPr>
              <w:spacing w:line="50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1.10±0.47</w:t>
            </w: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vertAlign w:val="superscript"/>
              </w:rPr>
              <w:t>*</w:t>
            </w:r>
          </w:p>
        </w:tc>
        <w:tc>
          <w:tcPr>
            <w:tcW w:w="1192" w:type="dxa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 w14:paraId="736ABFE9">
            <w:pPr>
              <w:spacing w:line="50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shd w:val="clear" w:color="auto" w:fill="FFFFFF"/>
                <w:lang w:val="en-US" w:eastAsia="zh-CN"/>
              </w:rPr>
              <w:t>2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shd w:val="clear" w:color="auto" w:fill="FFFFFF"/>
              </w:rPr>
              <w:t>.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38±0.50</w:t>
            </w: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 w14:paraId="5DA6BCA2">
            <w:pPr>
              <w:spacing w:line="50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1.05±0.40</w:t>
            </w: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vertAlign w:val="superscript"/>
              </w:rPr>
              <w:t>*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 w14:paraId="605203BE">
            <w:pPr>
              <w:spacing w:line="50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8.46±5.82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 w14:paraId="4AFC2600">
            <w:pPr>
              <w:spacing w:line="50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9.45±4.21</w:t>
            </w: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vertAlign w:val="superscript"/>
              </w:rPr>
              <w:t>*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 w14:paraId="2D217BED">
            <w:pPr>
              <w:spacing w:line="50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76.43±4.58</w:t>
            </w:r>
          </w:p>
        </w:tc>
        <w:tc>
          <w:tcPr>
            <w:tcW w:w="1272" w:type="dxa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 w14:paraId="2D5BA8F9">
            <w:pPr>
              <w:spacing w:line="50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8.34±.98</w:t>
            </w: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vertAlign w:val="superscript"/>
              </w:rPr>
              <w:t>*</w:t>
            </w:r>
          </w:p>
        </w:tc>
      </w:tr>
      <w:tr w14:paraId="2FE601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48" w:type="dxa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 w14:paraId="1A648642">
            <w:pPr>
              <w:spacing w:line="50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/>
                <w:iCs/>
                <w:color w:val="000000"/>
                <w:kern w:val="0"/>
                <w:sz w:val="18"/>
                <w:szCs w:val="18"/>
              </w:rPr>
              <w:t>t</w:t>
            </w:r>
          </w:p>
        </w:tc>
        <w:tc>
          <w:tcPr>
            <w:tcW w:w="1192" w:type="dxa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 w14:paraId="6A53807C">
            <w:pPr>
              <w:spacing w:line="50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0.384</w:t>
            </w:r>
          </w:p>
        </w:tc>
        <w:tc>
          <w:tcPr>
            <w:tcW w:w="1184" w:type="dxa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 w14:paraId="07B36F3A">
            <w:pPr>
              <w:spacing w:line="500" w:lineRule="exact"/>
              <w:jc w:val="center"/>
              <w:rPr>
                <w:rFonts w:hint="eastAsia" w:ascii="宋体" w:hAnsi="宋体" w:eastAsia="宋体" w:cs="宋体"/>
                <w:color w:val="70AD47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shd w:val="clear" w:color="auto" w:fill="FFFFFF"/>
              </w:rPr>
              <w:t>2.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  <w:t>311</w:t>
            </w:r>
          </w:p>
        </w:tc>
        <w:tc>
          <w:tcPr>
            <w:tcW w:w="1192" w:type="dxa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 w14:paraId="37919313">
            <w:pPr>
              <w:spacing w:line="50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0.269</w:t>
            </w: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 w14:paraId="4CA05563">
            <w:pPr>
              <w:spacing w:line="50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shd w:val="clear" w:color="auto" w:fill="FFFFFF"/>
              </w:rPr>
              <w:t>2.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686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 w14:paraId="72C3852D">
            <w:pPr>
              <w:spacing w:line="50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0.167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 w14:paraId="1EFB7BE1">
            <w:pPr>
              <w:spacing w:line="50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shd w:val="clear" w:color="auto" w:fill="FFFFFF"/>
              </w:rPr>
              <w:t>2.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  <w:t>262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 w14:paraId="3D37980C">
            <w:pPr>
              <w:spacing w:line="50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  <w:t>0.211</w:t>
            </w:r>
          </w:p>
        </w:tc>
        <w:tc>
          <w:tcPr>
            <w:tcW w:w="1272" w:type="dxa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 w14:paraId="42B932FC">
            <w:pPr>
              <w:spacing w:line="50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shd w:val="clear" w:color="auto" w:fill="FFFFFF"/>
              </w:rPr>
              <w:t>2.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  <w:t>776</w:t>
            </w:r>
          </w:p>
        </w:tc>
      </w:tr>
      <w:tr w14:paraId="3E9A71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48" w:type="dxa"/>
            <w:tcBorders>
              <w:top w:val="nil"/>
              <w:left w:val="nil"/>
              <w:bottom w:val="single" w:color="000000" w:sz="12" w:space="0"/>
              <w:right w:val="nil"/>
            </w:tcBorders>
            <w:noWrap w:val="0"/>
            <w:vAlign w:val="top"/>
          </w:tcPr>
          <w:p w14:paraId="63B560ED">
            <w:pPr>
              <w:spacing w:line="50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/>
                <w:iCs/>
                <w:color w:val="000000"/>
                <w:kern w:val="0"/>
                <w:sz w:val="18"/>
                <w:szCs w:val="18"/>
              </w:rPr>
              <w:t>P</w:t>
            </w:r>
          </w:p>
        </w:tc>
        <w:tc>
          <w:tcPr>
            <w:tcW w:w="1192" w:type="dxa"/>
            <w:tcBorders>
              <w:top w:val="nil"/>
              <w:left w:val="nil"/>
              <w:bottom w:val="single" w:color="000000" w:sz="12" w:space="0"/>
              <w:right w:val="nil"/>
            </w:tcBorders>
            <w:noWrap w:val="0"/>
            <w:vAlign w:val="top"/>
          </w:tcPr>
          <w:p w14:paraId="12F01F74">
            <w:pPr>
              <w:spacing w:line="50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0.701</w:t>
            </w:r>
          </w:p>
        </w:tc>
        <w:tc>
          <w:tcPr>
            <w:tcW w:w="1184" w:type="dxa"/>
            <w:tcBorders>
              <w:top w:val="nil"/>
              <w:left w:val="nil"/>
              <w:bottom w:val="single" w:color="000000" w:sz="12" w:space="0"/>
              <w:right w:val="nil"/>
            </w:tcBorders>
            <w:noWrap w:val="0"/>
            <w:vAlign w:val="top"/>
          </w:tcPr>
          <w:p w14:paraId="1A9F6983">
            <w:pPr>
              <w:spacing w:line="50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0.023</w:t>
            </w:r>
          </w:p>
        </w:tc>
        <w:tc>
          <w:tcPr>
            <w:tcW w:w="1192" w:type="dxa"/>
            <w:tcBorders>
              <w:top w:val="nil"/>
              <w:left w:val="nil"/>
              <w:bottom w:val="single" w:color="000000" w:sz="12" w:space="0"/>
              <w:right w:val="nil"/>
            </w:tcBorders>
            <w:noWrap w:val="0"/>
            <w:vAlign w:val="top"/>
          </w:tcPr>
          <w:p w14:paraId="08F985E2">
            <w:pPr>
              <w:spacing w:line="50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0.788</w:t>
            </w:r>
          </w:p>
        </w:tc>
        <w:tc>
          <w:tcPr>
            <w:tcW w:w="1256" w:type="dxa"/>
            <w:tcBorders>
              <w:top w:val="nil"/>
              <w:left w:val="nil"/>
              <w:bottom w:val="single" w:color="000000" w:sz="12" w:space="0"/>
              <w:right w:val="nil"/>
            </w:tcBorders>
            <w:noWrap w:val="0"/>
            <w:vAlign w:val="top"/>
          </w:tcPr>
          <w:p w14:paraId="0E73E048">
            <w:pPr>
              <w:spacing w:line="50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0.009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000000" w:sz="12" w:space="0"/>
              <w:right w:val="nil"/>
            </w:tcBorders>
            <w:noWrap w:val="0"/>
            <w:vAlign w:val="top"/>
          </w:tcPr>
          <w:p w14:paraId="745C04D7">
            <w:pPr>
              <w:spacing w:line="50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0.867</w:t>
            </w:r>
          </w:p>
        </w:tc>
        <w:tc>
          <w:tcPr>
            <w:tcW w:w="1384" w:type="dxa"/>
            <w:tcBorders>
              <w:top w:val="nil"/>
              <w:left w:val="nil"/>
              <w:bottom w:val="single" w:color="000000" w:sz="12" w:space="0"/>
              <w:right w:val="nil"/>
            </w:tcBorders>
            <w:noWrap w:val="0"/>
            <w:vAlign w:val="top"/>
          </w:tcPr>
          <w:p w14:paraId="11CA5B59">
            <w:pPr>
              <w:spacing w:line="50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0.026</w:t>
            </w:r>
          </w:p>
        </w:tc>
        <w:tc>
          <w:tcPr>
            <w:tcW w:w="1384" w:type="dxa"/>
            <w:tcBorders>
              <w:top w:val="nil"/>
              <w:left w:val="nil"/>
              <w:bottom w:val="single" w:color="000000" w:sz="12" w:space="0"/>
              <w:right w:val="nil"/>
            </w:tcBorders>
            <w:noWrap w:val="0"/>
            <w:vAlign w:val="top"/>
          </w:tcPr>
          <w:p w14:paraId="2E978062">
            <w:pPr>
              <w:spacing w:line="50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0.832</w:t>
            </w:r>
          </w:p>
        </w:tc>
        <w:tc>
          <w:tcPr>
            <w:tcW w:w="1272" w:type="dxa"/>
            <w:tcBorders>
              <w:top w:val="nil"/>
              <w:left w:val="nil"/>
              <w:bottom w:val="single" w:color="000000" w:sz="12" w:space="0"/>
              <w:right w:val="nil"/>
            </w:tcBorders>
            <w:noWrap w:val="0"/>
            <w:vAlign w:val="top"/>
          </w:tcPr>
          <w:p w14:paraId="24C932FC">
            <w:pPr>
              <w:spacing w:line="50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0.007</w:t>
            </w:r>
          </w:p>
        </w:tc>
      </w:tr>
      <w:bookmarkEnd w:id="0"/>
    </w:tbl>
    <w:p w14:paraId="1CD34F1B">
      <w:pPr>
        <w:spacing w:line="500" w:lineRule="exact"/>
        <w:ind w:firstLine="420"/>
        <w:rPr>
          <w:rFonts w:hint="eastAsia" w:ascii="宋体" w:hAnsi="宋体" w:eastAsia="宋体" w:cs="宋体"/>
          <w:color w:val="000000"/>
          <w:sz w:val="18"/>
          <w:szCs w:val="18"/>
        </w:rPr>
      </w:pPr>
      <w:r>
        <w:rPr>
          <w:rFonts w:hint="eastAsia" w:ascii="宋体" w:hAnsi="宋体" w:eastAsia="宋体" w:cs="宋体"/>
          <w:color w:val="000000"/>
          <w:sz w:val="18"/>
          <w:szCs w:val="18"/>
        </w:rPr>
        <w:t>注：与治疗前比较，</w:t>
      </w:r>
      <w:r>
        <w:rPr>
          <w:rFonts w:hint="eastAsia" w:ascii="宋体" w:hAnsi="宋体" w:eastAsia="宋体" w:cs="宋体"/>
          <w:color w:val="000000"/>
          <w:sz w:val="18"/>
          <w:szCs w:val="18"/>
          <w:vertAlign w:val="superscript"/>
        </w:rPr>
        <w:t>*</w:t>
      </w:r>
      <w:r>
        <w:rPr>
          <w:rFonts w:hint="eastAsia" w:ascii="宋体" w:hAnsi="宋体" w:eastAsia="宋体" w:cs="宋体"/>
          <w:i/>
          <w:iCs/>
          <w:color w:val="000000"/>
          <w:sz w:val="18"/>
          <w:szCs w:val="18"/>
        </w:rPr>
        <w:t>P</w:t>
      </w:r>
      <w:r>
        <w:rPr>
          <w:rFonts w:hint="eastAsia" w:ascii="宋体" w:hAnsi="宋体" w:eastAsia="宋体" w:cs="宋体"/>
          <w:color w:val="000000"/>
          <w:sz w:val="18"/>
          <w:szCs w:val="18"/>
        </w:rPr>
        <w:t>＜0.05。</w:t>
      </w:r>
    </w:p>
    <w:p w14:paraId="42CED91C">
      <w:pPr>
        <w:spacing w:line="500" w:lineRule="exact"/>
        <w:rPr>
          <w:rFonts w:hint="eastAsia" w:ascii="宋体" w:hAnsi="宋体"/>
          <w:color w:val="000000"/>
          <w:sz w:val="24"/>
          <w:lang w:eastAsia="zh-CN"/>
        </w:rPr>
      </w:pPr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CEAB554">
    <w:pPr>
      <w:pStyle w:val="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1B68C83">
    <w:pPr>
      <w:pStyle w:val="4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6650733">
    <w:pPr>
      <w:pStyle w:val="4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89A315C">
    <w:pPr>
      <w:pStyle w:val="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EA5D25A">
    <w:pPr>
      <w:pStyle w:val="5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DC3E483">
    <w:pPr>
      <w:pStyle w:val="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Y1NDMyYTIyMDhmYTAzYjc0NDFjNjAxMzM3NGVkNGQifQ=="/>
  </w:docVars>
  <w:rsids>
    <w:rsidRoot w:val="00172A27"/>
    <w:rsid w:val="000740CF"/>
    <w:rsid w:val="000E0733"/>
    <w:rsid w:val="000E143A"/>
    <w:rsid w:val="00414ED9"/>
    <w:rsid w:val="004E4FA1"/>
    <w:rsid w:val="00516D77"/>
    <w:rsid w:val="00573246"/>
    <w:rsid w:val="00623D03"/>
    <w:rsid w:val="0063079D"/>
    <w:rsid w:val="008C290F"/>
    <w:rsid w:val="009374F6"/>
    <w:rsid w:val="009875FC"/>
    <w:rsid w:val="00B13E17"/>
    <w:rsid w:val="00B5260D"/>
    <w:rsid w:val="00BB7EFC"/>
    <w:rsid w:val="064A63C1"/>
    <w:rsid w:val="07042EEC"/>
    <w:rsid w:val="0B657ACB"/>
    <w:rsid w:val="0B9F492F"/>
    <w:rsid w:val="13E0550A"/>
    <w:rsid w:val="158C0FD5"/>
    <w:rsid w:val="1C87666A"/>
    <w:rsid w:val="2711797E"/>
    <w:rsid w:val="2C2A6F85"/>
    <w:rsid w:val="2E592FC5"/>
    <w:rsid w:val="3D3314C0"/>
    <w:rsid w:val="40AC69A4"/>
    <w:rsid w:val="559831C1"/>
    <w:rsid w:val="5E9C22C3"/>
    <w:rsid w:val="6CB06A1F"/>
    <w:rsid w:val="72820278"/>
    <w:rsid w:val="79C2658D"/>
    <w:rsid w:val="7A5E1436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nhideWhenUsed="0" w:uiPriority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qFormat="1" w:unhideWhenUsed="0" w:uiPriority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11">
    <w:name w:val="Default Paragraph Font"/>
    <w:uiPriority w:val="0"/>
  </w:style>
  <w:style w:type="table" w:default="1" w:styleId="8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semiHidden/>
    <w:uiPriority w:val="0"/>
    <w:pPr>
      <w:jc w:val="left"/>
    </w:pPr>
  </w:style>
  <w:style w:type="paragraph" w:styleId="3">
    <w:name w:val="Balloon Text"/>
    <w:basedOn w:val="1"/>
    <w:semiHidden/>
    <w:uiPriority w:val="0"/>
    <w:rPr>
      <w:sz w:val="18"/>
      <w:szCs w:val="18"/>
    </w:rPr>
  </w:style>
  <w:style w:type="paragraph" w:styleId="4">
    <w:name w:val="footer"/>
    <w:basedOn w:val="1"/>
    <w:link w:val="16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7"/>
    <w:uiPriority w:val="0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7">
    <w:name w:val="annotation subject"/>
    <w:basedOn w:val="2"/>
    <w:next w:val="2"/>
    <w:semiHidden/>
    <w:qFormat/>
    <w:uiPriority w:val="0"/>
    <w:rPr>
      <w:b/>
      <w:bCs/>
    </w:rPr>
  </w:style>
  <w:style w:type="table" w:styleId="9">
    <w:name w:val="Table Grid"/>
    <w:basedOn w:val="8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10">
    <w:name w:val="Table Simple 1"/>
    <w:basedOn w:val="8"/>
    <w:uiPriority w:val="0"/>
    <w:pPr>
      <w:widowControl w:val="0"/>
      <w:jc w:val="both"/>
    </w:pPr>
    <w:rPr>
      <w:rFonts w:ascii="Calibri" w:hAnsi="Calibri"/>
    </w:rPr>
    <w:tblPr>
      <w:tblBorders>
        <w:top w:val="single" w:color="008000" w:sz="12" w:space="0"/>
        <w:bottom w:val="single" w:color="008000" w:sz="12" w:space="0"/>
      </w:tblBorders>
    </w:tblPr>
    <w:tcPr>
      <w:shd w:val="clear" w:color="auto" w:fill="auto"/>
    </w:tcPr>
    <w:tblStylePr w:type="firstRow">
      <w:tblPr/>
      <w:tcPr>
        <w:tcBorders>
          <w:top w:val="nil"/>
          <w:left w:val="single" w:color="008000" w:sz="6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tblPr/>
      <w:tcPr>
        <w:tcBorders>
          <w:top w:val="single" w:color="008000" w:sz="6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character" w:styleId="12">
    <w:name w:val="FollowedHyperlink"/>
    <w:uiPriority w:val="0"/>
    <w:rPr>
      <w:color w:val="5F5F5F"/>
      <w:u w:val="none"/>
    </w:rPr>
  </w:style>
  <w:style w:type="character" w:styleId="13">
    <w:name w:val="Emphasis"/>
    <w:qFormat/>
    <w:uiPriority w:val="0"/>
    <w:rPr>
      <w:i/>
    </w:rPr>
  </w:style>
  <w:style w:type="character" w:styleId="14">
    <w:name w:val="Hyperlink"/>
    <w:uiPriority w:val="0"/>
    <w:rPr>
      <w:color w:val="002B82"/>
      <w:u w:val="none"/>
    </w:rPr>
  </w:style>
  <w:style w:type="character" w:styleId="15">
    <w:name w:val="annotation reference"/>
    <w:semiHidden/>
    <w:qFormat/>
    <w:uiPriority w:val="0"/>
    <w:rPr>
      <w:sz w:val="21"/>
      <w:szCs w:val="21"/>
    </w:rPr>
  </w:style>
  <w:style w:type="character" w:customStyle="1" w:styleId="16">
    <w:name w:val="页脚 字符"/>
    <w:link w:val="4"/>
    <w:qFormat/>
    <w:uiPriority w:val="0"/>
    <w:rPr>
      <w:kern w:val="2"/>
      <w:sz w:val="18"/>
      <w:szCs w:val="18"/>
    </w:rPr>
  </w:style>
  <w:style w:type="character" w:customStyle="1" w:styleId="17">
    <w:name w:val="页眉 字符"/>
    <w:link w:val="5"/>
    <w:uiPriority w:val="0"/>
    <w:rPr>
      <w:kern w:val="2"/>
      <w:sz w:val="18"/>
      <w:szCs w:val="18"/>
    </w:rPr>
  </w:style>
  <w:style w:type="character" w:customStyle="1" w:styleId="18">
    <w:name w:val="spanleft"/>
    <w:qFormat/>
    <w:uiPriority w:val="0"/>
  </w:style>
  <w:style w:type="character" w:customStyle="1" w:styleId="19">
    <w:name w:val="active"/>
    <w:uiPriority w:val="0"/>
    <w:rPr>
      <w:color w:val="E60000"/>
      <w:sz w:val="21"/>
      <w:szCs w:val="21"/>
    </w:rPr>
  </w:style>
  <w:style w:type="paragraph" w:customStyle="1" w:styleId="20">
    <w:name w:val="_Style 19"/>
    <w:unhideWhenUsed/>
    <w:qFormat/>
    <w:uiPriority w:val="99"/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image" Target="media/image1.wmf"/><Relationship Id="rId10" Type="http://schemas.openxmlformats.org/officeDocument/2006/relationships/oleObject" Target="embeddings/oleObject1.bin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514</Words>
  <Characters>1070</Characters>
  <Lines>77</Lines>
  <Paragraphs>21</Paragraphs>
  <TotalTime>17</TotalTime>
  <ScaleCrop>false</ScaleCrop>
  <LinksUpToDate>false</LinksUpToDate>
  <CharactersWithSpaces>1154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2025-05-05T12:31:00Z</dcterms:created>
  <dc:creator>User</dc:creator>
  <cp:lastModifiedBy>windy</cp:lastModifiedBy>
  <dcterms:modified xsi:type="dcterms:W3CDTF">2025-09-22T03:34:37Z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E313D4B29A6B4A0CB587279FA6533E52_13</vt:lpwstr>
  </property>
  <property fmtid="{D5CDD505-2E9C-101B-9397-08002B2CF9AE}" pid="4" name="KSOTemplateDocerSaveRecord">
    <vt:lpwstr>eyJoZGlkIjoiOTYyMWU1ZDU4MjhhODg2OTIyMmE5NjY0NWE4ZWQ2NjkiLCJ1c2VySWQiOiIzNDgwMTMwODEifQ==</vt:lpwstr>
  </property>
  <property fmtid="{D5CDD505-2E9C-101B-9397-08002B2CF9AE}" pid="5" name="hmcheck_markmode">
    <vt:r8>0</vt:r8>
  </property>
  <property fmtid="{D5CDD505-2E9C-101B-9397-08002B2CF9AE}" pid="6" name="hmcheck_taskpanetype">
    <vt:r8>1</vt:r8>
  </property>
</Properties>
</file>