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F5FF">
      <w:pPr>
        <w:widowControl/>
        <w:spacing w:line="360" w:lineRule="auto"/>
        <w:ind w:firstLine="1094" w:firstLineChars="500"/>
        <w:jc w:val="center"/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14:ligatures w14:val="none"/>
        </w:rPr>
        <w:t>表3 分段线性回归分析血清同型半胱氨酸水平与eGFR降低的阈值效应</w:t>
      </w:r>
      <w:bookmarkStart w:id="1" w:name="_GoBack"/>
      <w:bookmarkEnd w:id="1"/>
    </w:p>
    <w:tbl>
      <w:tblPr>
        <w:tblStyle w:val="3"/>
        <w:tblW w:w="8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2640"/>
        <w:gridCol w:w="1576"/>
      </w:tblGrid>
      <w:tr w14:paraId="01816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A624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血清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Hcy</w:t>
            </w:r>
            <w:r>
              <w:rPr>
                <w:rFonts w:hint="eastAsia" w:ascii="Times New Roman" w:hAnsi="Times New Roman" w:cs="Times New Roman"/>
                <w:szCs w:val="21"/>
              </w:rPr>
              <w:t>水平的临界点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B101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OR</w:t>
            </w:r>
            <w:r>
              <w:rPr>
                <w:rFonts w:ascii="Times New Roman" w:hAnsi="Times New Roman" w:cs="Times New Roman"/>
                <w:szCs w:val="21"/>
              </w:rPr>
              <w:t xml:space="preserve"> (95%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CI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37622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</w:p>
        </w:tc>
      </w:tr>
      <w:tr w14:paraId="2EEA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71C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 13.4 µmol/L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144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1.52 (1.42</w:t>
            </w:r>
            <w:r>
              <w:rPr>
                <w:rFonts w:hint="default"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/>
                <w:szCs w:val="21"/>
              </w:rPr>
              <w:t>1.62)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2B9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 0.001</w:t>
            </w:r>
          </w:p>
        </w:tc>
      </w:tr>
      <w:tr w14:paraId="22640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CA0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≥ 13.4 µmol/L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B38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 (0.97</w:t>
            </w:r>
            <w:r>
              <w:rPr>
                <w:rFonts w:hint="default"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/>
                <w:szCs w:val="21"/>
              </w:rPr>
              <w:t>1.02)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05D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0.664</w:t>
            </w:r>
          </w:p>
        </w:tc>
      </w:tr>
      <w:tr w14:paraId="11E40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A03E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对数似然比检验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FC90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1F8D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 0.001</w:t>
            </w:r>
          </w:p>
        </w:tc>
      </w:tr>
    </w:tbl>
    <w:p w14:paraId="3D52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宋体" w:hAnsi="宋体" w:eastAsia="宋体" w:cs="Times New Roman"/>
          <w:b/>
          <w:bCs/>
          <w:color w:val="FF0000"/>
          <w:sz w:val="18"/>
          <w:szCs w:val="18"/>
        </w:rPr>
      </w:pPr>
      <w:bookmarkStart w:id="0" w:name="_Hlk192590283"/>
      <w:r>
        <w:rPr>
          <w:rFonts w:hint="eastAsia" w:ascii="宋体" w:hAnsi="宋体" w:eastAsia="宋体" w:cs="Times New Roman"/>
          <w:color w:val="auto"/>
          <w:sz w:val="18"/>
          <w:szCs w:val="18"/>
          <w:lang w:eastAsia="zh-CN"/>
        </w:rPr>
        <w:t>注：</w:t>
      </w:r>
      <w:r>
        <w:rPr>
          <w:rFonts w:ascii="宋体" w:hAnsi="宋体" w:eastAsia="宋体" w:cs="Times New Roman"/>
          <w:color w:val="auto"/>
          <w:sz w:val="18"/>
          <w:szCs w:val="18"/>
        </w:rPr>
        <w:t>a. 模型调整因素包括年龄、性别、种族、血清维生素B</w:t>
      </w:r>
      <w:r>
        <w:rPr>
          <w:rFonts w:ascii="宋体" w:hAnsi="宋体" w:eastAsia="宋体" w:cs="Times New Roman"/>
          <w:color w:val="auto"/>
          <w:sz w:val="18"/>
          <w:szCs w:val="18"/>
          <w:vertAlign w:val="subscript"/>
        </w:rPr>
        <w:t>12</w:t>
      </w:r>
      <w:r>
        <w:rPr>
          <w:rFonts w:ascii="宋体" w:hAnsi="宋体" w:eastAsia="宋体" w:cs="Times New Roman"/>
          <w:color w:val="auto"/>
          <w:sz w:val="18"/>
          <w:szCs w:val="18"/>
        </w:rPr>
        <w:t>、血清叶酸、总胆固醇、甘油三酯、</w:t>
      </w:r>
      <w:r>
        <w:rPr>
          <w:rFonts w:ascii="宋体" w:hAnsi="宋体" w:eastAsia="宋体" w:cs="Times New Roman"/>
          <w:color w:val="auto"/>
          <w:sz w:val="18"/>
          <w:szCs w:val="18"/>
          <w:shd w:val="clear" w:fill="FFFFFF"/>
        </w:rPr>
        <w:t>血清白蛋白</w:t>
      </w:r>
      <w:r>
        <w:rPr>
          <w:rFonts w:ascii="宋体" w:hAnsi="宋体" w:eastAsia="宋体" w:cs="Times New Roman"/>
          <w:color w:val="auto"/>
          <w:sz w:val="18"/>
          <w:szCs w:val="18"/>
        </w:rPr>
        <w:t>、血糖、血清尿酸、酒精摄入、</w:t>
      </w:r>
      <w:r>
        <w:rPr>
          <w:rFonts w:ascii="宋体" w:hAnsi="宋体" w:eastAsia="宋体" w:cs="Times New Roman"/>
          <w:color w:val="auto"/>
          <w:sz w:val="18"/>
          <w:szCs w:val="18"/>
          <w:shd w:val="clear" w:fill="FFFFFF"/>
        </w:rPr>
        <w:t>体</w:t>
      </w:r>
      <w:r>
        <w:rPr>
          <w:rFonts w:hint="eastAsia" w:ascii="宋体" w:hAnsi="宋体" w:eastAsia="宋体" w:cs="Times New Roman"/>
          <w:color w:val="auto"/>
          <w:sz w:val="18"/>
          <w:szCs w:val="18"/>
          <w:shd w:val="clear" w:fill="FFFFFF"/>
          <w:lang w:val="en-US" w:eastAsia="zh-CN"/>
        </w:rPr>
        <w:t>质</w:t>
      </w:r>
      <w:r>
        <w:rPr>
          <w:rFonts w:ascii="宋体" w:hAnsi="宋体" w:eastAsia="宋体" w:cs="Times New Roman"/>
          <w:color w:val="auto"/>
          <w:sz w:val="18"/>
          <w:szCs w:val="18"/>
          <w:shd w:val="clear" w:fill="FFFFFF"/>
        </w:rPr>
        <w:t>指数</w:t>
      </w:r>
      <w:r>
        <w:rPr>
          <w:rFonts w:ascii="宋体" w:hAnsi="宋体" w:eastAsia="宋体" w:cs="Times New Roman"/>
          <w:color w:val="auto"/>
          <w:sz w:val="18"/>
          <w:szCs w:val="18"/>
        </w:rPr>
        <w:t>（BMI）、收缩压和舒张压、当前吸烟状态、糖尿病、高血压、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CAD</w:t>
      </w:r>
      <w:r>
        <w:rPr>
          <w:rFonts w:ascii="宋体" w:hAnsi="宋体" w:eastAsia="宋体" w:cs="Times New Roman"/>
          <w:color w:val="auto"/>
          <w:sz w:val="18"/>
          <w:szCs w:val="18"/>
        </w:rPr>
        <w:t>以及尿白蛋白/肌酐比值（</w:t>
      </w:r>
      <w:r>
        <w:rPr>
          <w:rFonts w:ascii="宋体" w:hAnsi="宋体" w:eastAsia="宋体" w:cs="Times New Roman"/>
          <w:color w:val="auto"/>
          <w:sz w:val="18"/>
          <w:szCs w:val="18"/>
          <w:shd w:val="clear" w:fill="FFFFFF"/>
        </w:rPr>
        <w:t>uACR</w:t>
      </w:r>
      <w:r>
        <w:rPr>
          <w:rFonts w:ascii="宋体" w:hAnsi="宋体" w:eastAsia="宋体" w:cs="Times New Roman"/>
          <w:color w:val="auto"/>
          <w:sz w:val="18"/>
          <w:szCs w:val="18"/>
        </w:rPr>
        <w:t>）升高。</w:t>
      </w:r>
    </w:p>
    <w:bookmarkEnd w:id="0"/>
    <w:p w14:paraId="384F2C7F">
      <w:pPr>
        <w:widowControl/>
        <w:jc w:val="left"/>
        <w:rPr>
          <w:rFonts w:ascii="Helvetica" w:hAnsi="Helvetica" w:eastAsia="宋体" w:cs="宋体"/>
          <w:color w:val="060607"/>
          <w:spacing w:val="4"/>
          <w:kern w:val="0"/>
          <w:szCs w:val="21"/>
          <w14:ligatures w14:val="none"/>
        </w:rPr>
      </w:pPr>
    </w:p>
    <w:p w14:paraId="28EE98D4">
      <w:pPr>
        <w:pStyle w:val="11"/>
        <w:rPr>
          <w:rFonts w:hint="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s02atsv5rafwse952vpze2rra2sv29evez2&quot;&gt;我的EndNote库&lt;record-ids&gt;&lt;item&gt;25&lt;/item&gt;&lt;/record-ids&gt;&lt;/item&gt;&lt;/Libraries&gt;"/>
  </w:docVars>
  <w:rsids>
    <w:rsidRoot w:val="00060D59"/>
    <w:rsid w:val="000009E9"/>
    <w:rsid w:val="0000215D"/>
    <w:rsid w:val="00020140"/>
    <w:rsid w:val="0002061A"/>
    <w:rsid w:val="000304C9"/>
    <w:rsid w:val="000552A5"/>
    <w:rsid w:val="00060D59"/>
    <w:rsid w:val="00067F0E"/>
    <w:rsid w:val="00070586"/>
    <w:rsid w:val="000730E8"/>
    <w:rsid w:val="00076BED"/>
    <w:rsid w:val="00077690"/>
    <w:rsid w:val="00097AD3"/>
    <w:rsid w:val="000B2970"/>
    <w:rsid w:val="000B49C9"/>
    <w:rsid w:val="000C7764"/>
    <w:rsid w:val="000D1FA9"/>
    <w:rsid w:val="000D4BD1"/>
    <w:rsid w:val="000E5AC5"/>
    <w:rsid w:val="000F0450"/>
    <w:rsid w:val="000F59D3"/>
    <w:rsid w:val="0010232B"/>
    <w:rsid w:val="00112127"/>
    <w:rsid w:val="00116338"/>
    <w:rsid w:val="00123A7C"/>
    <w:rsid w:val="001449DF"/>
    <w:rsid w:val="00145B12"/>
    <w:rsid w:val="00170240"/>
    <w:rsid w:val="001767D3"/>
    <w:rsid w:val="00184980"/>
    <w:rsid w:val="00186586"/>
    <w:rsid w:val="0018741C"/>
    <w:rsid w:val="00197302"/>
    <w:rsid w:val="00197665"/>
    <w:rsid w:val="00197DED"/>
    <w:rsid w:val="001B0403"/>
    <w:rsid w:val="001B0C65"/>
    <w:rsid w:val="001C0393"/>
    <w:rsid w:val="001C304E"/>
    <w:rsid w:val="001C41EB"/>
    <w:rsid w:val="001C776A"/>
    <w:rsid w:val="001D1022"/>
    <w:rsid w:val="001D14CB"/>
    <w:rsid w:val="001D4387"/>
    <w:rsid w:val="001E3D14"/>
    <w:rsid w:val="001F6715"/>
    <w:rsid w:val="00217F90"/>
    <w:rsid w:val="00226A6A"/>
    <w:rsid w:val="0024456B"/>
    <w:rsid w:val="002548D3"/>
    <w:rsid w:val="0027022E"/>
    <w:rsid w:val="00271F9D"/>
    <w:rsid w:val="002730C6"/>
    <w:rsid w:val="002A10E6"/>
    <w:rsid w:val="002B2A75"/>
    <w:rsid w:val="002B3280"/>
    <w:rsid w:val="002B65CC"/>
    <w:rsid w:val="002E5810"/>
    <w:rsid w:val="002F58AB"/>
    <w:rsid w:val="003056E6"/>
    <w:rsid w:val="00310FDD"/>
    <w:rsid w:val="00312995"/>
    <w:rsid w:val="003411FC"/>
    <w:rsid w:val="0037113C"/>
    <w:rsid w:val="003741AA"/>
    <w:rsid w:val="00374459"/>
    <w:rsid w:val="003841F4"/>
    <w:rsid w:val="003969CA"/>
    <w:rsid w:val="003A1CB9"/>
    <w:rsid w:val="003B59D0"/>
    <w:rsid w:val="003C191C"/>
    <w:rsid w:val="003C1C5A"/>
    <w:rsid w:val="003C774C"/>
    <w:rsid w:val="003D356F"/>
    <w:rsid w:val="003E5F4B"/>
    <w:rsid w:val="00406F80"/>
    <w:rsid w:val="004106BC"/>
    <w:rsid w:val="00416FE9"/>
    <w:rsid w:val="00422F27"/>
    <w:rsid w:val="00430E92"/>
    <w:rsid w:val="00441C26"/>
    <w:rsid w:val="0044587D"/>
    <w:rsid w:val="00453B0B"/>
    <w:rsid w:val="00460C93"/>
    <w:rsid w:val="00491C59"/>
    <w:rsid w:val="004C0006"/>
    <w:rsid w:val="004D4C8B"/>
    <w:rsid w:val="004E4A44"/>
    <w:rsid w:val="004E52F5"/>
    <w:rsid w:val="004F2371"/>
    <w:rsid w:val="004F4F17"/>
    <w:rsid w:val="00520025"/>
    <w:rsid w:val="005318D3"/>
    <w:rsid w:val="00540071"/>
    <w:rsid w:val="00540963"/>
    <w:rsid w:val="00547DBA"/>
    <w:rsid w:val="00556EE6"/>
    <w:rsid w:val="00563BD1"/>
    <w:rsid w:val="00564682"/>
    <w:rsid w:val="00565E6F"/>
    <w:rsid w:val="005736A5"/>
    <w:rsid w:val="00580435"/>
    <w:rsid w:val="005812A2"/>
    <w:rsid w:val="00585723"/>
    <w:rsid w:val="005B176F"/>
    <w:rsid w:val="005B3F40"/>
    <w:rsid w:val="005B5169"/>
    <w:rsid w:val="005B7D48"/>
    <w:rsid w:val="005C07F2"/>
    <w:rsid w:val="005E1930"/>
    <w:rsid w:val="005E4226"/>
    <w:rsid w:val="005E7F18"/>
    <w:rsid w:val="0060042F"/>
    <w:rsid w:val="006121D1"/>
    <w:rsid w:val="00614815"/>
    <w:rsid w:val="00615E8D"/>
    <w:rsid w:val="00617851"/>
    <w:rsid w:val="00621B34"/>
    <w:rsid w:val="00626A3D"/>
    <w:rsid w:val="0063488C"/>
    <w:rsid w:val="006651AA"/>
    <w:rsid w:val="00686115"/>
    <w:rsid w:val="006A40E8"/>
    <w:rsid w:val="006B508C"/>
    <w:rsid w:val="006B6AE9"/>
    <w:rsid w:val="006C411C"/>
    <w:rsid w:val="006C771E"/>
    <w:rsid w:val="006D5B43"/>
    <w:rsid w:val="006E4793"/>
    <w:rsid w:val="006F4C53"/>
    <w:rsid w:val="006F776D"/>
    <w:rsid w:val="007014CE"/>
    <w:rsid w:val="0070213F"/>
    <w:rsid w:val="00702F1E"/>
    <w:rsid w:val="0070536E"/>
    <w:rsid w:val="00725C43"/>
    <w:rsid w:val="00732D16"/>
    <w:rsid w:val="00736E51"/>
    <w:rsid w:val="007412B2"/>
    <w:rsid w:val="00751DCD"/>
    <w:rsid w:val="00762CA9"/>
    <w:rsid w:val="00774843"/>
    <w:rsid w:val="00786E18"/>
    <w:rsid w:val="00787685"/>
    <w:rsid w:val="00797339"/>
    <w:rsid w:val="007A0B15"/>
    <w:rsid w:val="007B1A91"/>
    <w:rsid w:val="007C1A35"/>
    <w:rsid w:val="007C2C72"/>
    <w:rsid w:val="007D4302"/>
    <w:rsid w:val="007E7CC1"/>
    <w:rsid w:val="007F0064"/>
    <w:rsid w:val="00815982"/>
    <w:rsid w:val="00821EEF"/>
    <w:rsid w:val="00822CC4"/>
    <w:rsid w:val="00832B1F"/>
    <w:rsid w:val="00834956"/>
    <w:rsid w:val="00842A4C"/>
    <w:rsid w:val="00863812"/>
    <w:rsid w:val="00866299"/>
    <w:rsid w:val="00866D12"/>
    <w:rsid w:val="008712C5"/>
    <w:rsid w:val="00871574"/>
    <w:rsid w:val="0087468D"/>
    <w:rsid w:val="00877D3B"/>
    <w:rsid w:val="008848A3"/>
    <w:rsid w:val="00885662"/>
    <w:rsid w:val="00887FDB"/>
    <w:rsid w:val="008927A9"/>
    <w:rsid w:val="008A420B"/>
    <w:rsid w:val="008A7846"/>
    <w:rsid w:val="008E4DA7"/>
    <w:rsid w:val="008E7DD2"/>
    <w:rsid w:val="008F0698"/>
    <w:rsid w:val="008F59CB"/>
    <w:rsid w:val="00914AD4"/>
    <w:rsid w:val="0091784D"/>
    <w:rsid w:val="009443B1"/>
    <w:rsid w:val="00945967"/>
    <w:rsid w:val="0095184B"/>
    <w:rsid w:val="00975709"/>
    <w:rsid w:val="00996B25"/>
    <w:rsid w:val="009A45A0"/>
    <w:rsid w:val="009A4B9E"/>
    <w:rsid w:val="009B4F8E"/>
    <w:rsid w:val="009D265A"/>
    <w:rsid w:val="009D7F08"/>
    <w:rsid w:val="009E4040"/>
    <w:rsid w:val="00A1184E"/>
    <w:rsid w:val="00A144F3"/>
    <w:rsid w:val="00A34245"/>
    <w:rsid w:val="00A351A1"/>
    <w:rsid w:val="00A50DC3"/>
    <w:rsid w:val="00A52347"/>
    <w:rsid w:val="00A6443C"/>
    <w:rsid w:val="00A65845"/>
    <w:rsid w:val="00A80749"/>
    <w:rsid w:val="00A81581"/>
    <w:rsid w:val="00A907A9"/>
    <w:rsid w:val="00AA5374"/>
    <w:rsid w:val="00AB34CF"/>
    <w:rsid w:val="00AC3DAB"/>
    <w:rsid w:val="00AD4E30"/>
    <w:rsid w:val="00AE60DA"/>
    <w:rsid w:val="00AF4E29"/>
    <w:rsid w:val="00AF5940"/>
    <w:rsid w:val="00B00828"/>
    <w:rsid w:val="00B051F8"/>
    <w:rsid w:val="00B05C1A"/>
    <w:rsid w:val="00B12AF0"/>
    <w:rsid w:val="00B35953"/>
    <w:rsid w:val="00B77628"/>
    <w:rsid w:val="00B8125C"/>
    <w:rsid w:val="00B8311F"/>
    <w:rsid w:val="00B834E9"/>
    <w:rsid w:val="00B935A6"/>
    <w:rsid w:val="00B9531E"/>
    <w:rsid w:val="00BA65F0"/>
    <w:rsid w:val="00BB2588"/>
    <w:rsid w:val="00BB5C73"/>
    <w:rsid w:val="00BD25E9"/>
    <w:rsid w:val="00BD31E6"/>
    <w:rsid w:val="00BE1232"/>
    <w:rsid w:val="00BF5537"/>
    <w:rsid w:val="00C07F34"/>
    <w:rsid w:val="00C10738"/>
    <w:rsid w:val="00C13AF4"/>
    <w:rsid w:val="00C16CF6"/>
    <w:rsid w:val="00C439CE"/>
    <w:rsid w:val="00C45188"/>
    <w:rsid w:val="00C53D48"/>
    <w:rsid w:val="00C607FA"/>
    <w:rsid w:val="00C75610"/>
    <w:rsid w:val="00C935F7"/>
    <w:rsid w:val="00C9625B"/>
    <w:rsid w:val="00CB2B88"/>
    <w:rsid w:val="00CB6786"/>
    <w:rsid w:val="00CC7EDF"/>
    <w:rsid w:val="00CD2DF6"/>
    <w:rsid w:val="00CE1FA3"/>
    <w:rsid w:val="00CF47B9"/>
    <w:rsid w:val="00CF6A8B"/>
    <w:rsid w:val="00D03C5F"/>
    <w:rsid w:val="00D043D1"/>
    <w:rsid w:val="00D135F7"/>
    <w:rsid w:val="00D17B90"/>
    <w:rsid w:val="00D470E1"/>
    <w:rsid w:val="00D564EC"/>
    <w:rsid w:val="00D64EBE"/>
    <w:rsid w:val="00D66DA8"/>
    <w:rsid w:val="00D67BD8"/>
    <w:rsid w:val="00D71018"/>
    <w:rsid w:val="00D76FBD"/>
    <w:rsid w:val="00D8421F"/>
    <w:rsid w:val="00D90156"/>
    <w:rsid w:val="00D96472"/>
    <w:rsid w:val="00DA0CC9"/>
    <w:rsid w:val="00DA1BEB"/>
    <w:rsid w:val="00DA555D"/>
    <w:rsid w:val="00DD3E82"/>
    <w:rsid w:val="00DD76C0"/>
    <w:rsid w:val="00DF15A9"/>
    <w:rsid w:val="00E01358"/>
    <w:rsid w:val="00E04944"/>
    <w:rsid w:val="00E4121D"/>
    <w:rsid w:val="00E45E83"/>
    <w:rsid w:val="00E46C80"/>
    <w:rsid w:val="00E7003B"/>
    <w:rsid w:val="00E76341"/>
    <w:rsid w:val="00E84696"/>
    <w:rsid w:val="00E958CD"/>
    <w:rsid w:val="00EA0A48"/>
    <w:rsid w:val="00EF4080"/>
    <w:rsid w:val="00F11C83"/>
    <w:rsid w:val="00F22279"/>
    <w:rsid w:val="00F2316D"/>
    <w:rsid w:val="00F300CA"/>
    <w:rsid w:val="00F305AE"/>
    <w:rsid w:val="00F45619"/>
    <w:rsid w:val="00F56169"/>
    <w:rsid w:val="00F7047C"/>
    <w:rsid w:val="00F76DC8"/>
    <w:rsid w:val="00F779D9"/>
    <w:rsid w:val="00F80F87"/>
    <w:rsid w:val="00F92B05"/>
    <w:rsid w:val="00F93B04"/>
    <w:rsid w:val="00F96E9D"/>
    <w:rsid w:val="00FA2977"/>
    <w:rsid w:val="00FA3FBC"/>
    <w:rsid w:val="00FC5D95"/>
    <w:rsid w:val="00FD6DBB"/>
    <w:rsid w:val="00FF18F3"/>
    <w:rsid w:val="03F92B07"/>
    <w:rsid w:val="04581721"/>
    <w:rsid w:val="09DA30BF"/>
    <w:rsid w:val="0D0429D6"/>
    <w:rsid w:val="0E463A07"/>
    <w:rsid w:val="1255519F"/>
    <w:rsid w:val="12F928B1"/>
    <w:rsid w:val="1C077DEC"/>
    <w:rsid w:val="1E5B4C78"/>
    <w:rsid w:val="217035BD"/>
    <w:rsid w:val="2C1340A5"/>
    <w:rsid w:val="2C32477A"/>
    <w:rsid w:val="32592BBE"/>
    <w:rsid w:val="33605D6F"/>
    <w:rsid w:val="38C20ECB"/>
    <w:rsid w:val="3A0951B7"/>
    <w:rsid w:val="4101455B"/>
    <w:rsid w:val="42742A6B"/>
    <w:rsid w:val="445E425A"/>
    <w:rsid w:val="44CC64A4"/>
    <w:rsid w:val="481063AB"/>
    <w:rsid w:val="485155D1"/>
    <w:rsid w:val="4B0C5FD6"/>
    <w:rsid w:val="4B5076D9"/>
    <w:rsid w:val="4D21569C"/>
    <w:rsid w:val="530C2C3F"/>
    <w:rsid w:val="532C5A71"/>
    <w:rsid w:val="559A3ACD"/>
    <w:rsid w:val="597C5C19"/>
    <w:rsid w:val="64746C6E"/>
    <w:rsid w:val="6AA96359"/>
    <w:rsid w:val="6D6E5CF0"/>
    <w:rsid w:val="6DAA3701"/>
    <w:rsid w:val="6DC32397"/>
    <w:rsid w:val="72F90D8B"/>
    <w:rsid w:val="7B164183"/>
    <w:rsid w:val="7DE63278"/>
    <w:rsid w:val="7EA76934"/>
    <w:rsid w:val="7F322327"/>
    <w:rsid w:val="7F4F43D4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MDPI_1.7_abstract"/>
    <w:next w:val="1"/>
    <w:qFormat/>
    <w:uiPriority w:val="0"/>
    <w:pPr>
      <w:adjustRightInd w:val="0"/>
      <w:snapToGrid w:val="0"/>
      <w:spacing w:before="240" w:line="260" w:lineRule="atLeast"/>
      <w:ind w:firstLine="400" w:firstLineChars="200"/>
      <w:jc w:val="both"/>
    </w:pPr>
    <w:rPr>
      <w:rFonts w:ascii="Arial" w:hAnsi="Arial" w:cs="Arial" w:eastAsiaTheme="minorEastAsia"/>
      <w:b/>
      <w:color w:val="FF0000"/>
      <w:kern w:val="0"/>
      <w:sz w:val="20"/>
      <w:szCs w:val="20"/>
      <w:lang w:val="en-US" w:eastAsia="zh-CN" w:bidi="en-US"/>
      <w14:ligatures w14:val="none"/>
    </w:rPr>
  </w:style>
  <w:style w:type="paragraph" w:customStyle="1" w:styleId="9">
    <w:name w:val="MDPI_1.8_keywords"/>
    <w:next w:val="1"/>
    <w:qFormat/>
    <w:uiPriority w:val="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 w:eastAsia="Times New Roman" w:cs="Times New Roman"/>
      <w:snapToGrid w:val="0"/>
      <w:color w:val="000000"/>
      <w:kern w:val="0"/>
      <w:sz w:val="18"/>
      <w:szCs w:val="22"/>
      <w:lang w:val="en-US" w:eastAsia="de-DE" w:bidi="en-US"/>
      <w14:ligatures w14:val="none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EndNote Bibliography"/>
    <w:basedOn w:val="1"/>
    <w:link w:val="12"/>
    <w:qFormat/>
    <w:uiPriority w:val="0"/>
    <w:pPr>
      <w:widowControl/>
      <w:spacing w:line="240" w:lineRule="atLeast"/>
      <w:jc w:val="left"/>
    </w:pPr>
    <w:rPr>
      <w:rFonts w:ascii="Palatino Linotype" w:hAnsi="Palatino Linotype" w:eastAsia="宋体" w:cs="Times New Roman"/>
      <w:color w:val="000000"/>
      <w:kern w:val="0"/>
      <w:sz w:val="20"/>
      <w:szCs w:val="20"/>
      <w14:ligatures w14:val="none"/>
    </w:rPr>
  </w:style>
  <w:style w:type="character" w:customStyle="1" w:styleId="12">
    <w:name w:val="EndNote Bibliography 字符"/>
    <w:basedOn w:val="5"/>
    <w:link w:val="11"/>
    <w:qFormat/>
    <w:uiPriority w:val="0"/>
    <w:rPr>
      <w:rFonts w:ascii="Palatino Linotype" w:hAnsi="Palatino Linotype" w:eastAsia="宋体" w:cs="Times New Roman"/>
      <w:color w:val="000000"/>
      <w:kern w:val="0"/>
      <w:sz w:val="20"/>
      <w:szCs w:val="20"/>
      <w14:ligatures w14:val="none"/>
    </w:rPr>
  </w:style>
  <w:style w:type="paragraph" w:customStyle="1" w:styleId="13">
    <w:name w:val="EndNote Bibliography Title"/>
    <w:basedOn w:val="1"/>
    <w:link w:val="14"/>
    <w:qFormat/>
    <w:uiPriority w:val="0"/>
    <w:pPr>
      <w:jc w:val="center"/>
    </w:pPr>
    <w:rPr>
      <w:rFonts w:ascii="Palatino Linotype" w:hAnsi="Palatino Linotype"/>
      <w:sz w:val="20"/>
    </w:rPr>
  </w:style>
  <w:style w:type="character" w:customStyle="1" w:styleId="14">
    <w:name w:val="EndNote Bibliography Title 字符"/>
    <w:basedOn w:val="5"/>
    <w:link w:val="13"/>
    <w:qFormat/>
    <w:uiPriority w:val="0"/>
    <w:rPr>
      <w:rFonts w:ascii="Palatino Linotype" w:hAnsi="Palatino Linotype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250</Characters>
  <Lines>115</Lines>
  <Paragraphs>32</Paragraphs>
  <TotalTime>18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2025-03-21T03:00:00Z</dcterms:created>
  <dc:creator>ting he</dc:creator>
  <cp:lastModifiedBy>windy</cp:lastModifiedBy>
  <dcterms:modified xsi:type="dcterms:W3CDTF">2025-09-19T09:34:42Z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183F6ECAB21D46D3A987826A4EEEB5E8_13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