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4CF0">
      <w:pPr>
        <w:widowControl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 xml:space="preserve">2  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规范管理体系实施前后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某医院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试验用药品管理方面质控发现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eastAsia="zh-CN"/>
        </w:rPr>
        <w:t>缺陷项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</w:rPr>
        <w:t>数量</w:t>
      </w:r>
      <w:r>
        <w:rPr>
          <w:rFonts w:hint="eastAsia" w:ascii="宋体" w:hAnsi="宋体" w:eastAsia="宋体" w:cs="宋体"/>
          <w:b/>
          <w:bCs w:val="0"/>
          <w:sz w:val="21"/>
          <w:szCs w:val="21"/>
          <w:highlight w:val="none"/>
          <w:lang w:val="en-US" w:eastAsia="zh-CN"/>
        </w:rPr>
        <w:t>对比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757"/>
        <w:gridCol w:w="1408"/>
        <w:gridCol w:w="1679"/>
        <w:gridCol w:w="1679"/>
        <w:gridCol w:w="1679"/>
      </w:tblGrid>
      <w:tr w14:paraId="4750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C64FA2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年份</w:t>
            </w:r>
          </w:p>
        </w:tc>
        <w:tc>
          <w:tcPr>
            <w:tcW w:w="175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E56A2C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试验用药品方面质控发现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缺陷项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14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D04514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开展药物临床试验项目数量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16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8AE279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质控发现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缺陷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数量占项目比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FA2E55"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16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7057DB"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P</w:t>
            </w:r>
          </w:p>
        </w:tc>
      </w:tr>
      <w:tr w14:paraId="73CA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F44BAA4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2018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—2020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5790339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269CD60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121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5CB7EC6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70.25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FA84A56"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OLE_LINK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94.421</w:t>
            </w:r>
            <w:bookmarkEnd w:id="0"/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1FC95D57"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0.0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</w:tr>
      <w:tr w14:paraId="1E96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271564C">
            <w:pPr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21—2023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3BD982E1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3ECB80C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254</w:t>
            </w:r>
          </w:p>
        </w:tc>
        <w:tc>
          <w:tcPr>
            <w:tcW w:w="167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242BBAA">
            <w:pPr>
              <w:jc w:val="center"/>
              <w:textAlignment w:val="bottom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18.90</w:t>
            </w:r>
          </w:p>
        </w:tc>
        <w:tc>
          <w:tcPr>
            <w:tcW w:w="1679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E578A59"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679" w:type="dxa"/>
            <w:vMerge w:val="continue"/>
            <w:tcBorders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80C4445">
            <w:pPr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3B1D2594">
      <w:pPr>
        <w:adjustRightInd w:val="0"/>
        <w:snapToGrid w:val="0"/>
        <w:spacing w:line="300" w:lineRule="auto"/>
        <w:jc w:val="both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u w:val="single"/>
          <w:lang w:eastAsia="zh-CN"/>
        </w:rPr>
      </w:pPr>
    </w:p>
    <w:sectPr>
      <w:pgSz w:w="12240" w:h="15840"/>
      <w:pgMar w:top="1440" w:right="1418" w:bottom="1440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·..yoú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WJjYzk2ODJlYTM0ZjIyNGUzZGFmMTNiZTQyMzQifQ=="/>
  </w:docVars>
  <w:rsids>
    <w:rsidRoot w:val="00172A27"/>
    <w:rsid w:val="00033AA8"/>
    <w:rsid w:val="00047DEB"/>
    <w:rsid w:val="00054437"/>
    <w:rsid w:val="00054D21"/>
    <w:rsid w:val="00072BD5"/>
    <w:rsid w:val="000A4211"/>
    <w:rsid w:val="000B4401"/>
    <w:rsid w:val="000B72D1"/>
    <w:rsid w:val="000C7051"/>
    <w:rsid w:val="000E02A7"/>
    <w:rsid w:val="000E3170"/>
    <w:rsid w:val="000E650B"/>
    <w:rsid w:val="001042A3"/>
    <w:rsid w:val="00113E2F"/>
    <w:rsid w:val="0011629B"/>
    <w:rsid w:val="001336E2"/>
    <w:rsid w:val="00140418"/>
    <w:rsid w:val="001511E6"/>
    <w:rsid w:val="001514CA"/>
    <w:rsid w:val="00161ACB"/>
    <w:rsid w:val="00172A27"/>
    <w:rsid w:val="00191B07"/>
    <w:rsid w:val="001B1A7B"/>
    <w:rsid w:val="001B1E81"/>
    <w:rsid w:val="001B3B5E"/>
    <w:rsid w:val="001C0DD2"/>
    <w:rsid w:val="001C7F14"/>
    <w:rsid w:val="001E35FD"/>
    <w:rsid w:val="001F0653"/>
    <w:rsid w:val="002030F3"/>
    <w:rsid w:val="0024303E"/>
    <w:rsid w:val="00252286"/>
    <w:rsid w:val="00255170"/>
    <w:rsid w:val="00283F73"/>
    <w:rsid w:val="002A12F9"/>
    <w:rsid w:val="002E4BA6"/>
    <w:rsid w:val="00304653"/>
    <w:rsid w:val="00304E5C"/>
    <w:rsid w:val="003120B1"/>
    <w:rsid w:val="003248A0"/>
    <w:rsid w:val="00337B6E"/>
    <w:rsid w:val="00340319"/>
    <w:rsid w:val="00366605"/>
    <w:rsid w:val="0038562B"/>
    <w:rsid w:val="00386B2F"/>
    <w:rsid w:val="00386C95"/>
    <w:rsid w:val="003A1C05"/>
    <w:rsid w:val="003A1C36"/>
    <w:rsid w:val="003B5F1B"/>
    <w:rsid w:val="003C7789"/>
    <w:rsid w:val="003D149F"/>
    <w:rsid w:val="003D1AE8"/>
    <w:rsid w:val="003E2B2B"/>
    <w:rsid w:val="003F055A"/>
    <w:rsid w:val="003F1C38"/>
    <w:rsid w:val="003F6286"/>
    <w:rsid w:val="00460335"/>
    <w:rsid w:val="00465B73"/>
    <w:rsid w:val="00473A91"/>
    <w:rsid w:val="00494D4E"/>
    <w:rsid w:val="004A33A6"/>
    <w:rsid w:val="004B379A"/>
    <w:rsid w:val="004B5250"/>
    <w:rsid w:val="004C1ABD"/>
    <w:rsid w:val="004C4378"/>
    <w:rsid w:val="004C4EE8"/>
    <w:rsid w:val="004F3A6C"/>
    <w:rsid w:val="00506F9A"/>
    <w:rsid w:val="0052501A"/>
    <w:rsid w:val="005270F7"/>
    <w:rsid w:val="00531215"/>
    <w:rsid w:val="00531747"/>
    <w:rsid w:val="005319EB"/>
    <w:rsid w:val="005414B9"/>
    <w:rsid w:val="00541BC5"/>
    <w:rsid w:val="00562DCD"/>
    <w:rsid w:val="005634DF"/>
    <w:rsid w:val="00574136"/>
    <w:rsid w:val="00582480"/>
    <w:rsid w:val="005828FB"/>
    <w:rsid w:val="00585389"/>
    <w:rsid w:val="00587881"/>
    <w:rsid w:val="00591721"/>
    <w:rsid w:val="005D43C7"/>
    <w:rsid w:val="005E552D"/>
    <w:rsid w:val="005F256F"/>
    <w:rsid w:val="00602486"/>
    <w:rsid w:val="00605087"/>
    <w:rsid w:val="0060626D"/>
    <w:rsid w:val="006133C0"/>
    <w:rsid w:val="006157CA"/>
    <w:rsid w:val="006178FE"/>
    <w:rsid w:val="00622AAB"/>
    <w:rsid w:val="00625260"/>
    <w:rsid w:val="006355A1"/>
    <w:rsid w:val="00675EA1"/>
    <w:rsid w:val="00680423"/>
    <w:rsid w:val="00691A34"/>
    <w:rsid w:val="006959C0"/>
    <w:rsid w:val="006A6820"/>
    <w:rsid w:val="006B2E3D"/>
    <w:rsid w:val="006D1272"/>
    <w:rsid w:val="006D1F98"/>
    <w:rsid w:val="006F1FEF"/>
    <w:rsid w:val="006F4FA2"/>
    <w:rsid w:val="006F53EC"/>
    <w:rsid w:val="00703737"/>
    <w:rsid w:val="007306D8"/>
    <w:rsid w:val="00733E88"/>
    <w:rsid w:val="00754DFA"/>
    <w:rsid w:val="00755D26"/>
    <w:rsid w:val="007B7E63"/>
    <w:rsid w:val="007C2FDF"/>
    <w:rsid w:val="007C4DD5"/>
    <w:rsid w:val="007D374F"/>
    <w:rsid w:val="007E31AD"/>
    <w:rsid w:val="007E3B11"/>
    <w:rsid w:val="007F6DD8"/>
    <w:rsid w:val="008010E2"/>
    <w:rsid w:val="00831891"/>
    <w:rsid w:val="00851383"/>
    <w:rsid w:val="00851E5B"/>
    <w:rsid w:val="0085648B"/>
    <w:rsid w:val="0085779A"/>
    <w:rsid w:val="00874CE3"/>
    <w:rsid w:val="0088561A"/>
    <w:rsid w:val="00890C58"/>
    <w:rsid w:val="00892BE2"/>
    <w:rsid w:val="008A7DD0"/>
    <w:rsid w:val="008F73E5"/>
    <w:rsid w:val="00922157"/>
    <w:rsid w:val="009359F1"/>
    <w:rsid w:val="00941479"/>
    <w:rsid w:val="00944D04"/>
    <w:rsid w:val="009466D5"/>
    <w:rsid w:val="009528A7"/>
    <w:rsid w:val="00966270"/>
    <w:rsid w:val="00973A25"/>
    <w:rsid w:val="00982570"/>
    <w:rsid w:val="00983FE1"/>
    <w:rsid w:val="00984C03"/>
    <w:rsid w:val="00986829"/>
    <w:rsid w:val="00996DD2"/>
    <w:rsid w:val="009A3291"/>
    <w:rsid w:val="009B2E86"/>
    <w:rsid w:val="009C56B6"/>
    <w:rsid w:val="009D0F6A"/>
    <w:rsid w:val="009D42CC"/>
    <w:rsid w:val="009E5B58"/>
    <w:rsid w:val="009F071D"/>
    <w:rsid w:val="00A00F51"/>
    <w:rsid w:val="00A1360E"/>
    <w:rsid w:val="00A352F1"/>
    <w:rsid w:val="00A4164B"/>
    <w:rsid w:val="00A46CEB"/>
    <w:rsid w:val="00A62274"/>
    <w:rsid w:val="00A70DF5"/>
    <w:rsid w:val="00A77FBA"/>
    <w:rsid w:val="00A77FDE"/>
    <w:rsid w:val="00A93299"/>
    <w:rsid w:val="00A9386F"/>
    <w:rsid w:val="00AA06B0"/>
    <w:rsid w:val="00AA085A"/>
    <w:rsid w:val="00AA788B"/>
    <w:rsid w:val="00AC647E"/>
    <w:rsid w:val="00AE628C"/>
    <w:rsid w:val="00AF3314"/>
    <w:rsid w:val="00B05CD8"/>
    <w:rsid w:val="00B140F8"/>
    <w:rsid w:val="00B174C0"/>
    <w:rsid w:val="00B26436"/>
    <w:rsid w:val="00B305B3"/>
    <w:rsid w:val="00B4401F"/>
    <w:rsid w:val="00B456B6"/>
    <w:rsid w:val="00B50298"/>
    <w:rsid w:val="00B565EA"/>
    <w:rsid w:val="00B75BFC"/>
    <w:rsid w:val="00B81199"/>
    <w:rsid w:val="00B815D1"/>
    <w:rsid w:val="00B844BD"/>
    <w:rsid w:val="00B858B9"/>
    <w:rsid w:val="00B861DB"/>
    <w:rsid w:val="00B86AEC"/>
    <w:rsid w:val="00B92C26"/>
    <w:rsid w:val="00B94776"/>
    <w:rsid w:val="00B9588A"/>
    <w:rsid w:val="00B958F4"/>
    <w:rsid w:val="00BA046C"/>
    <w:rsid w:val="00BB7484"/>
    <w:rsid w:val="00BC1007"/>
    <w:rsid w:val="00BC2DF7"/>
    <w:rsid w:val="00BD0AB8"/>
    <w:rsid w:val="00BE27BE"/>
    <w:rsid w:val="00BE3309"/>
    <w:rsid w:val="00BF32B3"/>
    <w:rsid w:val="00BF4B22"/>
    <w:rsid w:val="00C127D7"/>
    <w:rsid w:val="00C26EFB"/>
    <w:rsid w:val="00C519A8"/>
    <w:rsid w:val="00C90F55"/>
    <w:rsid w:val="00C974C7"/>
    <w:rsid w:val="00CA2206"/>
    <w:rsid w:val="00CC06BD"/>
    <w:rsid w:val="00CC1BD2"/>
    <w:rsid w:val="00CD4AF6"/>
    <w:rsid w:val="00CE60C6"/>
    <w:rsid w:val="00CF6EFE"/>
    <w:rsid w:val="00CF7439"/>
    <w:rsid w:val="00D12338"/>
    <w:rsid w:val="00D21AAC"/>
    <w:rsid w:val="00D30775"/>
    <w:rsid w:val="00D47EDC"/>
    <w:rsid w:val="00D67078"/>
    <w:rsid w:val="00D73110"/>
    <w:rsid w:val="00D7546A"/>
    <w:rsid w:val="00D87C80"/>
    <w:rsid w:val="00D93713"/>
    <w:rsid w:val="00DA102A"/>
    <w:rsid w:val="00DA6E70"/>
    <w:rsid w:val="00DB04E0"/>
    <w:rsid w:val="00DC224B"/>
    <w:rsid w:val="00DC641D"/>
    <w:rsid w:val="00DE4C0E"/>
    <w:rsid w:val="00E23F8F"/>
    <w:rsid w:val="00E34596"/>
    <w:rsid w:val="00E5414D"/>
    <w:rsid w:val="00E80E7B"/>
    <w:rsid w:val="00E85637"/>
    <w:rsid w:val="00E877AD"/>
    <w:rsid w:val="00E97CA6"/>
    <w:rsid w:val="00EB01BA"/>
    <w:rsid w:val="00EB5850"/>
    <w:rsid w:val="00EB6949"/>
    <w:rsid w:val="00EC41F6"/>
    <w:rsid w:val="00EC7AF3"/>
    <w:rsid w:val="00ED0A0A"/>
    <w:rsid w:val="00ED560C"/>
    <w:rsid w:val="00EE30E6"/>
    <w:rsid w:val="00EF002E"/>
    <w:rsid w:val="00EF5215"/>
    <w:rsid w:val="00F14E91"/>
    <w:rsid w:val="00F21A37"/>
    <w:rsid w:val="00F308CC"/>
    <w:rsid w:val="00F51A01"/>
    <w:rsid w:val="00F55DE7"/>
    <w:rsid w:val="00F6123A"/>
    <w:rsid w:val="00F72668"/>
    <w:rsid w:val="00F76DCB"/>
    <w:rsid w:val="00F911DF"/>
    <w:rsid w:val="00FA0739"/>
    <w:rsid w:val="00FA3375"/>
    <w:rsid w:val="00FD3B93"/>
    <w:rsid w:val="00FD450E"/>
    <w:rsid w:val="00FF3B26"/>
    <w:rsid w:val="00FF7F42"/>
    <w:rsid w:val="01406462"/>
    <w:rsid w:val="01FB7F33"/>
    <w:rsid w:val="020B4FC5"/>
    <w:rsid w:val="02CB24A8"/>
    <w:rsid w:val="0310517E"/>
    <w:rsid w:val="04A9150A"/>
    <w:rsid w:val="04C565F2"/>
    <w:rsid w:val="05A808DE"/>
    <w:rsid w:val="06420C76"/>
    <w:rsid w:val="06425150"/>
    <w:rsid w:val="06562B01"/>
    <w:rsid w:val="06803EAA"/>
    <w:rsid w:val="06F97831"/>
    <w:rsid w:val="075A7DE8"/>
    <w:rsid w:val="07AA6BFB"/>
    <w:rsid w:val="07FF5A7E"/>
    <w:rsid w:val="08041666"/>
    <w:rsid w:val="082975B2"/>
    <w:rsid w:val="084F0317"/>
    <w:rsid w:val="08C17437"/>
    <w:rsid w:val="090E1351"/>
    <w:rsid w:val="09153CCC"/>
    <w:rsid w:val="0A451F24"/>
    <w:rsid w:val="0AC2640F"/>
    <w:rsid w:val="0AF84A3A"/>
    <w:rsid w:val="0C2A34E8"/>
    <w:rsid w:val="0C467570"/>
    <w:rsid w:val="0C7B0DEC"/>
    <w:rsid w:val="0CE9653F"/>
    <w:rsid w:val="0D065983"/>
    <w:rsid w:val="0E1E0662"/>
    <w:rsid w:val="0E204674"/>
    <w:rsid w:val="0ED95691"/>
    <w:rsid w:val="0EF92378"/>
    <w:rsid w:val="0F1D177D"/>
    <w:rsid w:val="0FAE72F2"/>
    <w:rsid w:val="0FB23756"/>
    <w:rsid w:val="101F41B1"/>
    <w:rsid w:val="106D21CA"/>
    <w:rsid w:val="108A1F00"/>
    <w:rsid w:val="10AE4313"/>
    <w:rsid w:val="10E440D8"/>
    <w:rsid w:val="11A953FB"/>
    <w:rsid w:val="11C13337"/>
    <w:rsid w:val="11F54030"/>
    <w:rsid w:val="127D2BF9"/>
    <w:rsid w:val="128634B0"/>
    <w:rsid w:val="135D2747"/>
    <w:rsid w:val="13630E4F"/>
    <w:rsid w:val="13861002"/>
    <w:rsid w:val="13A74F2E"/>
    <w:rsid w:val="13FC4F90"/>
    <w:rsid w:val="14445ADB"/>
    <w:rsid w:val="1471050A"/>
    <w:rsid w:val="14D62EA9"/>
    <w:rsid w:val="1588272F"/>
    <w:rsid w:val="15E76A04"/>
    <w:rsid w:val="160D4251"/>
    <w:rsid w:val="16462D72"/>
    <w:rsid w:val="1764150E"/>
    <w:rsid w:val="17BE5CC7"/>
    <w:rsid w:val="181B0707"/>
    <w:rsid w:val="19944D2E"/>
    <w:rsid w:val="19BE657D"/>
    <w:rsid w:val="19C030B4"/>
    <w:rsid w:val="19CE128D"/>
    <w:rsid w:val="1AD92A56"/>
    <w:rsid w:val="1AE6067A"/>
    <w:rsid w:val="1B335627"/>
    <w:rsid w:val="1B8A2008"/>
    <w:rsid w:val="1BF9676D"/>
    <w:rsid w:val="1D090997"/>
    <w:rsid w:val="1F4A3719"/>
    <w:rsid w:val="1F8B4AF5"/>
    <w:rsid w:val="200C08EF"/>
    <w:rsid w:val="20672AEF"/>
    <w:rsid w:val="20A976C4"/>
    <w:rsid w:val="211B43A8"/>
    <w:rsid w:val="21E23689"/>
    <w:rsid w:val="221D4A20"/>
    <w:rsid w:val="23486DB0"/>
    <w:rsid w:val="23910184"/>
    <w:rsid w:val="23AD5294"/>
    <w:rsid w:val="23F5454C"/>
    <w:rsid w:val="24325626"/>
    <w:rsid w:val="250A11DB"/>
    <w:rsid w:val="25346849"/>
    <w:rsid w:val="25792F9A"/>
    <w:rsid w:val="26E463A4"/>
    <w:rsid w:val="270E5838"/>
    <w:rsid w:val="275634D2"/>
    <w:rsid w:val="277C7874"/>
    <w:rsid w:val="277D32E3"/>
    <w:rsid w:val="27AF7F9F"/>
    <w:rsid w:val="28382A09"/>
    <w:rsid w:val="29383653"/>
    <w:rsid w:val="294A2AEE"/>
    <w:rsid w:val="29707DF6"/>
    <w:rsid w:val="29B86115"/>
    <w:rsid w:val="29F20491"/>
    <w:rsid w:val="29F50B33"/>
    <w:rsid w:val="2A0F79AF"/>
    <w:rsid w:val="2A3A3426"/>
    <w:rsid w:val="2A6B7E54"/>
    <w:rsid w:val="2AAE199C"/>
    <w:rsid w:val="2BC61633"/>
    <w:rsid w:val="2CB332B4"/>
    <w:rsid w:val="2CBA4252"/>
    <w:rsid w:val="2DC17409"/>
    <w:rsid w:val="2DFB024C"/>
    <w:rsid w:val="2E586286"/>
    <w:rsid w:val="2E6A7D67"/>
    <w:rsid w:val="2E8E7A4F"/>
    <w:rsid w:val="2E925955"/>
    <w:rsid w:val="2E957EAA"/>
    <w:rsid w:val="2F9D63F8"/>
    <w:rsid w:val="2F9F2EEA"/>
    <w:rsid w:val="2FC32F68"/>
    <w:rsid w:val="308C2735"/>
    <w:rsid w:val="30C45FF2"/>
    <w:rsid w:val="30F61427"/>
    <w:rsid w:val="31F80F14"/>
    <w:rsid w:val="3262317A"/>
    <w:rsid w:val="32E4642B"/>
    <w:rsid w:val="334C3EAF"/>
    <w:rsid w:val="3429552E"/>
    <w:rsid w:val="345952F8"/>
    <w:rsid w:val="34BD0DEB"/>
    <w:rsid w:val="34C30DDC"/>
    <w:rsid w:val="355419B0"/>
    <w:rsid w:val="35722A6D"/>
    <w:rsid w:val="35B673DA"/>
    <w:rsid w:val="35EE6093"/>
    <w:rsid w:val="36C06917"/>
    <w:rsid w:val="36E26FB9"/>
    <w:rsid w:val="375C198A"/>
    <w:rsid w:val="37887BDC"/>
    <w:rsid w:val="385D57F7"/>
    <w:rsid w:val="38971344"/>
    <w:rsid w:val="39F91F59"/>
    <w:rsid w:val="3A1C362C"/>
    <w:rsid w:val="3A4B7356"/>
    <w:rsid w:val="3AF00D58"/>
    <w:rsid w:val="3B2E1EA3"/>
    <w:rsid w:val="3C17171A"/>
    <w:rsid w:val="3C8E6EE2"/>
    <w:rsid w:val="3CE91BDA"/>
    <w:rsid w:val="3D506891"/>
    <w:rsid w:val="3D7412DB"/>
    <w:rsid w:val="3DCF7C55"/>
    <w:rsid w:val="3DEB7390"/>
    <w:rsid w:val="3DEF1CDA"/>
    <w:rsid w:val="3E613244"/>
    <w:rsid w:val="3EC6059A"/>
    <w:rsid w:val="3F0F6D9A"/>
    <w:rsid w:val="3FEE343C"/>
    <w:rsid w:val="40266B8C"/>
    <w:rsid w:val="402B310F"/>
    <w:rsid w:val="41D01467"/>
    <w:rsid w:val="41EC51F5"/>
    <w:rsid w:val="42003EE1"/>
    <w:rsid w:val="425330DD"/>
    <w:rsid w:val="43983557"/>
    <w:rsid w:val="439A6C50"/>
    <w:rsid w:val="439E1925"/>
    <w:rsid w:val="44400212"/>
    <w:rsid w:val="44712740"/>
    <w:rsid w:val="448D0AC9"/>
    <w:rsid w:val="454C593C"/>
    <w:rsid w:val="455C7BEE"/>
    <w:rsid w:val="457C4576"/>
    <w:rsid w:val="459E533D"/>
    <w:rsid w:val="466832C2"/>
    <w:rsid w:val="4762646E"/>
    <w:rsid w:val="477305A8"/>
    <w:rsid w:val="47D5385D"/>
    <w:rsid w:val="489060DD"/>
    <w:rsid w:val="4A387EEB"/>
    <w:rsid w:val="4A675BA1"/>
    <w:rsid w:val="4AD52CE0"/>
    <w:rsid w:val="4B664C22"/>
    <w:rsid w:val="4B6820D4"/>
    <w:rsid w:val="4C9761FF"/>
    <w:rsid w:val="4CA73BBA"/>
    <w:rsid w:val="4D4C1D2F"/>
    <w:rsid w:val="4D61018A"/>
    <w:rsid w:val="4DB32A26"/>
    <w:rsid w:val="4DF128C0"/>
    <w:rsid w:val="4EAD5E8A"/>
    <w:rsid w:val="4F111C6F"/>
    <w:rsid w:val="4F1C2B71"/>
    <w:rsid w:val="50426FDD"/>
    <w:rsid w:val="51D172DF"/>
    <w:rsid w:val="51DD66E5"/>
    <w:rsid w:val="537D4C15"/>
    <w:rsid w:val="53806579"/>
    <w:rsid w:val="545F361A"/>
    <w:rsid w:val="550953A5"/>
    <w:rsid w:val="55340DAD"/>
    <w:rsid w:val="56666565"/>
    <w:rsid w:val="56F6118B"/>
    <w:rsid w:val="571D0963"/>
    <w:rsid w:val="57403D9D"/>
    <w:rsid w:val="57996529"/>
    <w:rsid w:val="579B36F2"/>
    <w:rsid w:val="580C6CEC"/>
    <w:rsid w:val="58B73A25"/>
    <w:rsid w:val="59350554"/>
    <w:rsid w:val="59BF53CE"/>
    <w:rsid w:val="5A161859"/>
    <w:rsid w:val="5A1C1FC9"/>
    <w:rsid w:val="5ABF12B7"/>
    <w:rsid w:val="5B0332DC"/>
    <w:rsid w:val="5B90316E"/>
    <w:rsid w:val="5BAC582D"/>
    <w:rsid w:val="5C3D06E5"/>
    <w:rsid w:val="5E094D95"/>
    <w:rsid w:val="5EEA7C86"/>
    <w:rsid w:val="5F30458B"/>
    <w:rsid w:val="5F407ECA"/>
    <w:rsid w:val="5F5C6F33"/>
    <w:rsid w:val="5FDD69FD"/>
    <w:rsid w:val="5FE7285A"/>
    <w:rsid w:val="6004083C"/>
    <w:rsid w:val="601F1F66"/>
    <w:rsid w:val="60BE3150"/>
    <w:rsid w:val="6189565C"/>
    <w:rsid w:val="625606E9"/>
    <w:rsid w:val="633D1A46"/>
    <w:rsid w:val="637E7471"/>
    <w:rsid w:val="64184044"/>
    <w:rsid w:val="646908D0"/>
    <w:rsid w:val="65856287"/>
    <w:rsid w:val="65A73281"/>
    <w:rsid w:val="65B7337E"/>
    <w:rsid w:val="65C747B7"/>
    <w:rsid w:val="66054617"/>
    <w:rsid w:val="661A0468"/>
    <w:rsid w:val="66361216"/>
    <w:rsid w:val="668215E8"/>
    <w:rsid w:val="66A33130"/>
    <w:rsid w:val="673C70CF"/>
    <w:rsid w:val="675E59B4"/>
    <w:rsid w:val="69BB31FB"/>
    <w:rsid w:val="69EA3454"/>
    <w:rsid w:val="6A965385"/>
    <w:rsid w:val="6B0401AB"/>
    <w:rsid w:val="6B96045C"/>
    <w:rsid w:val="6BCE2FA1"/>
    <w:rsid w:val="6BF054ED"/>
    <w:rsid w:val="6DF76150"/>
    <w:rsid w:val="6E571E0B"/>
    <w:rsid w:val="6E876E44"/>
    <w:rsid w:val="6EF44C45"/>
    <w:rsid w:val="6F8B61B3"/>
    <w:rsid w:val="6F961C79"/>
    <w:rsid w:val="716E5FAA"/>
    <w:rsid w:val="71854944"/>
    <w:rsid w:val="71A8304A"/>
    <w:rsid w:val="738C7354"/>
    <w:rsid w:val="7441062D"/>
    <w:rsid w:val="745368A0"/>
    <w:rsid w:val="74CA5059"/>
    <w:rsid w:val="751E2840"/>
    <w:rsid w:val="7634617E"/>
    <w:rsid w:val="76DF73B9"/>
    <w:rsid w:val="78231693"/>
    <w:rsid w:val="78A73C8C"/>
    <w:rsid w:val="78E26444"/>
    <w:rsid w:val="79265912"/>
    <w:rsid w:val="79C626B8"/>
    <w:rsid w:val="7A874F2A"/>
    <w:rsid w:val="7B4B6884"/>
    <w:rsid w:val="7CF779F1"/>
    <w:rsid w:val="7E4939BA"/>
    <w:rsid w:val="7EDB0421"/>
    <w:rsid w:val="7EF41448"/>
    <w:rsid w:val="7F53218C"/>
    <w:rsid w:val="7F5B2591"/>
    <w:rsid w:val="7F6A667A"/>
    <w:rsid w:val="7F6C6169"/>
    <w:rsid w:val="7F812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widowControl w:val="0"/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8"/>
    <w:qFormat/>
    <w:uiPriority w:val="0"/>
    <w:pPr>
      <w:widowControl w:val="0"/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9">
    <w:name w:val="annotation subject"/>
    <w:basedOn w:val="4"/>
    <w:next w:val="4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unhideWhenUsed/>
    <w:qFormat/>
    <w:uiPriority w:val="99"/>
    <w:rPr>
      <w:vertAlign w:val="superscript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8">
    <w:name w:val="标题 3 字符"/>
    <w:link w:val="3"/>
    <w:semiHidden/>
    <w:qFormat/>
    <w:uiPriority w:val="0"/>
    <w:rPr>
      <w:rFonts w:ascii="宋体" w:hAnsi="宋体"/>
      <w:b/>
      <w:sz w:val="27"/>
      <w:szCs w:val="27"/>
    </w:rPr>
  </w:style>
  <w:style w:type="character" w:customStyle="1" w:styleId="19">
    <w:name w:val="批注文字 字符"/>
    <w:link w:val="4"/>
    <w:qFormat/>
    <w:uiPriority w:val="0"/>
    <w:rPr>
      <w:kern w:val="2"/>
      <w:sz w:val="21"/>
    </w:rPr>
  </w:style>
  <w:style w:type="character" w:customStyle="1" w:styleId="20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2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</w:rPr>
  </w:style>
  <w:style w:type="character" w:customStyle="1" w:styleId="24">
    <w:name w:val="tgt1"/>
    <w:qFormat/>
    <w:uiPriority w:val="0"/>
  </w:style>
  <w:style w:type="character" w:customStyle="1" w:styleId="25">
    <w:name w:val="citation-doi"/>
    <w:qFormat/>
    <w:uiPriority w:val="0"/>
  </w:style>
  <w:style w:type="character" w:customStyle="1" w:styleId="26">
    <w:name w:val="period"/>
    <w:qFormat/>
    <w:uiPriority w:val="0"/>
  </w:style>
  <w:style w:type="character" w:customStyle="1" w:styleId="2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comma"/>
    <w:qFormat/>
    <w:uiPriority w:val="0"/>
  </w:style>
  <w:style w:type="character" w:customStyle="1" w:styleId="29">
    <w:name w:val="authors-list-item"/>
    <w:qFormat/>
    <w:uiPriority w:val="0"/>
  </w:style>
  <w:style w:type="character" w:customStyle="1" w:styleId="30">
    <w:name w:val="author-sup-separator"/>
    <w:qFormat/>
    <w:uiPriority w:val="0"/>
  </w:style>
  <w:style w:type="character" w:customStyle="1" w:styleId="31">
    <w:name w:val="cit"/>
    <w:qFormat/>
    <w:uiPriority w:val="0"/>
  </w:style>
  <w:style w:type="paragraph" w:customStyle="1" w:styleId="32">
    <w:name w:val="CM9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line="316" w:lineRule="atLeast"/>
      <w:jc w:val="left"/>
    </w:pPr>
    <w:rPr>
      <w:rFonts w:hint="eastAsia" w:ascii="·..yoúì." w:hAnsi="·..yoúì." w:eastAsia="·..yoúì."/>
      <w:color w:val="000000"/>
      <w:kern w:val="0"/>
      <w:sz w:val="24"/>
      <w:szCs w:val="22"/>
    </w:rPr>
  </w:style>
  <w:style w:type="paragraph" w:customStyle="1" w:styleId="33">
    <w:name w:val="tg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CM26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jc w:val="left"/>
    </w:pPr>
    <w:rPr>
      <w:rFonts w:hint="eastAsia" w:ascii="·..yoúì." w:hAnsi="·..yoúì." w:eastAsia="·..yoúì."/>
      <w:color w:val="000000"/>
      <w:kern w:val="0"/>
      <w:sz w:val="24"/>
      <w:szCs w:val="22"/>
    </w:rPr>
  </w:style>
  <w:style w:type="paragraph" w:customStyle="1" w:styleId="35">
    <w:name w:val="12磅"/>
    <w:basedOn w:val="1"/>
    <w:qFormat/>
    <w:uiPriority w:val="0"/>
    <w:pPr>
      <w:spacing w:line="240" w:lineRule="exact"/>
      <w:jc w:val="left"/>
    </w:pPr>
    <w:rPr>
      <w:rFonts w:ascii="宋体" w:hAnsi="黑体"/>
      <w:szCs w:val="21"/>
    </w:rPr>
  </w:style>
  <w:style w:type="paragraph" w:customStyle="1" w:styleId="36">
    <w:name w:val="表文"/>
    <w:basedOn w:val="1"/>
    <w:qFormat/>
    <w:uiPriority w:val="0"/>
    <w:pPr>
      <w:widowControl w:val="0"/>
      <w:spacing w:line="260" w:lineRule="exact"/>
    </w:pPr>
    <w:rPr>
      <w:rFonts w:ascii="Calibri" w:hAnsi="宋体"/>
      <w:sz w:val="15"/>
      <w:szCs w:val="15"/>
    </w:rPr>
  </w:style>
  <w:style w:type="paragraph" w:customStyle="1" w:styleId="3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8">
    <w:name w:val="作者单位"/>
    <w:basedOn w:val="1"/>
    <w:qFormat/>
    <w:uiPriority w:val="0"/>
    <w:pPr>
      <w:spacing w:line="280" w:lineRule="exact"/>
      <w:ind w:right="600" w:rightChars="600"/>
    </w:pPr>
    <w:rPr>
      <w:rFonts w:hAnsi="宋体"/>
      <w:sz w:val="16"/>
      <w:szCs w:val="16"/>
    </w:rPr>
  </w:style>
  <w:style w:type="paragraph" w:customStyle="1" w:styleId="39">
    <w:name w:val="CM5"/>
    <w:basedOn w:val="1"/>
    <w:next w:val="1"/>
    <w:unhideWhenUsed/>
    <w:qFormat/>
    <w:uiPriority w:val="99"/>
    <w:pPr>
      <w:widowControl w:val="0"/>
      <w:autoSpaceDE w:val="0"/>
      <w:autoSpaceDN w:val="0"/>
      <w:adjustRightInd w:val="0"/>
      <w:spacing w:line="316" w:lineRule="atLeast"/>
      <w:jc w:val="left"/>
    </w:pPr>
    <w:rPr>
      <w:rFonts w:hint="eastAsia" w:ascii="·..yoúì." w:hAnsi="·..yoúì." w:eastAsia="·..yoúì."/>
      <w:color w:val="000000"/>
      <w:kern w:val="0"/>
      <w:sz w:val="24"/>
      <w:szCs w:val="22"/>
    </w:rPr>
  </w:style>
  <w:style w:type="paragraph" w:customStyle="1" w:styleId="40">
    <w:name w:val="表题"/>
    <w:basedOn w:val="1"/>
    <w:qFormat/>
    <w:uiPriority w:val="0"/>
    <w:pPr>
      <w:widowControl w:val="0"/>
      <w:spacing w:line="260" w:lineRule="exact"/>
    </w:pPr>
    <w:rPr>
      <w:rFonts w:ascii="Calibri" w:hAnsi="宋体"/>
      <w:sz w:val="18"/>
      <w:szCs w:val="18"/>
    </w:rPr>
  </w:style>
  <w:style w:type="paragraph" w:customStyle="1" w:styleId="41">
    <w:name w:val="注"/>
    <w:basedOn w:val="1"/>
    <w:qFormat/>
    <w:uiPriority w:val="0"/>
    <w:pPr>
      <w:widowControl w:val="0"/>
      <w:spacing w:line="260" w:lineRule="exact"/>
      <w:ind w:firstLine="200" w:firstLineChars="200"/>
    </w:pPr>
    <w:rPr>
      <w:rFonts w:ascii="Calibri" w:hAnsi="宋体"/>
      <w:sz w:val="15"/>
      <w:szCs w:val="15"/>
    </w:rPr>
  </w:style>
  <w:style w:type="paragraph" w:styleId="42">
    <w:name w:val="List Paragraph"/>
    <w:basedOn w:val="1"/>
    <w:qFormat/>
    <w:uiPriority w:val="99"/>
    <w:pPr>
      <w:ind w:firstLine="420" w:firstLineChars="200"/>
    </w:pPr>
  </w:style>
  <w:style w:type="paragraph" w:customStyle="1" w:styleId="43">
    <w:name w:val="英文摘要"/>
    <w:basedOn w:val="1"/>
    <w:qFormat/>
    <w:uiPriority w:val="0"/>
    <w:pPr>
      <w:spacing w:line="280" w:lineRule="exact"/>
      <w:ind w:right="600" w:rightChars="60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783</Words>
  <Characters>895</Characters>
  <Lines>56</Lines>
  <Paragraphs>15</Paragraphs>
  <TotalTime>46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windy</cp:lastModifiedBy>
  <cp:lastPrinted>2024-08-13T02:35:00Z</cp:lastPrinted>
  <dcterms:modified xsi:type="dcterms:W3CDTF">2025-09-17T07:44:32Z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5C6D26535A3D4CC7878127DFEB7B0223_13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